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2027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2027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404" w:type="dxa"/>
        <w:jc w:val="left"/>
        <w:tblInd w:w="-7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849"/>
        <w:gridCol w:w="3365"/>
        <w:gridCol w:w="39"/>
        <w:gridCol w:w="850"/>
        <w:gridCol w:w="11"/>
        <w:gridCol w:w="900"/>
        <w:gridCol w:w="82"/>
        <w:gridCol w:w="999"/>
        <w:gridCol w:w="65"/>
        <w:gridCol w:w="778"/>
        <w:gridCol w:w="57"/>
        <w:gridCol w:w="1408"/>
      </w:tblGrid>
      <w:tr>
        <w:trPr>
          <w:tblHeader w:val="true"/>
          <w:trHeight w:val="800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blHeader w:val="true"/>
          <w:trHeight w:val="600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40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1. Развитие и модернизация систем коммунальной инфраструктуры теплоснабжения, водоснабжения и водоотведения,  а также объектов, используемых для утилизации, обезвреживания и захоронения твердых бытовых отходов Волчанского городского округа</w:t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Степень износа коммунальной инфрастуктуры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количества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дополнительных мощностей сетей коммунальной инфраструктуры (за весь период) – газоснабжение, водоснабжение, водоотведение, теплоснабжение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Доля населения,         </w:t>
              <w:br/>
              <w:t xml:space="preserve">потребляющего питьевую  </w:t>
              <w:br/>
              <w:t xml:space="preserve">воду стандартного       </w:t>
              <w:br/>
              <w:t>качества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выполнены проектно-изыскательские работы, строительно-монтажные работы по реконструкции запланированы на 2023-2024годы</w:t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2. Развитие газификации Волчанского городского округа</w:t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жилых домов  (квартир) для которых будет создана техническая возможность подключения к газораспределительным сетям;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дополнительных  мощностей газопроводов  и газовых сетей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40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3. Повышение качества условий проживания населения Волчанского городского округа на 2014-2027 годы</w:t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граждан, проживающих в аварийном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ветхом жилищном фонде,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отношению к общей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численности населения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ввода в эксплуатацию жилья на одного жителя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кв.м/человека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4. Улучшение жилищных условий граждан, проживающих на территории Волчанского городского округа</w:t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ветхого и аварийного жилого фонда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40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5. Энергосбережение и повышение энергетической эффективности Волчанского городского округа</w:t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Экономия</w:t>
            </w:r>
            <w:r>
              <w:rPr>
                <w:rFonts w:cs="Times New Roman" w:ascii="Times New Roman" w:hAnsi="Times New Roman"/>
              </w:rPr>
              <w:t xml:space="preserve"> энергетических </w:t>
              <w:br/>
              <w:t>ресурсов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тыс.     </w:t>
              <w:br/>
              <w:t>т у. т.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40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6. Восстановление и развитие объектов внешнего благоустройства Волчанского городского округа</w:t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Протяженность улиц,     </w:t>
              <w:br/>
              <w:t xml:space="preserve">на которых установлены  </w:t>
              <w:br/>
              <w:t xml:space="preserve">опоры сетей уличного    </w:t>
              <w:br/>
              <w:t>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7. Обеспечение реализации муниципальной программы Волчанского городского округа «Развитие жилищно-коммунального хозяйства и повышение энергетической эффективности в Волчанском городском округе до 2027 года»</w:t>
            </w:r>
          </w:p>
        </w:tc>
      </w:tr>
      <w:tr>
        <w:trPr>
          <w:trHeight w:val="4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подготовки объектов инфраструктуры, обеспечивающей функционирование объектов, связанных с подготовкой и проведением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Ведущий специалист отдела ЖКХ,</w:t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Строительства и архитектуры Белобородова О.П. 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2027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29" w:type="dxa"/>
        <w:jc w:val="left"/>
        <w:tblInd w:w="-7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708"/>
        <w:gridCol w:w="6"/>
        <w:gridCol w:w="2683"/>
        <w:gridCol w:w="11"/>
        <w:gridCol w:w="981"/>
        <w:gridCol w:w="11"/>
        <w:gridCol w:w="1271"/>
        <w:gridCol w:w="147"/>
        <w:gridCol w:w="142"/>
        <w:gridCol w:w="1128"/>
        <w:gridCol w:w="431"/>
        <w:gridCol w:w="993"/>
        <w:gridCol w:w="1416"/>
      </w:tblGrid>
      <w:tr>
        <w:trPr>
          <w:tblHeader w:val="true"/>
          <w:trHeight w:val="1200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 (годы)</w:t>
            </w:r>
          </w:p>
        </w:tc>
        <w:tc>
          <w:tcPr>
            <w:tcW w:w="4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blHeader w:val="true"/>
          <w:trHeight w:val="400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программе,       </w:t>
              <w:br/>
              <w:t>в том числе: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379291,50706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370435,15982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92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1. 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ВГО</w:t>
            </w:r>
          </w:p>
        </w:tc>
      </w:tr>
      <w:tr>
        <w:trPr>
          <w:trHeight w:val="1008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подпрограмме,       </w:t>
              <w:br/>
              <w:t>в том числе: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102435,27467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102428,62946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3664,200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3664,200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98771,07467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98764,4294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2. РАЗВИТИЕ ГАЗИФИКАЦИИ ВОЛЧАНСКОГО ГОРОДСКОГО ОКРУГА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подпрограмме,       </w:t>
              <w:br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10201,36100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9503,02715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9773,7000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9075,36615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427,661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427,661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3. ПОВЫШЕНИЕ КАЧЕСТВА УСЛОВИЙ ПРОЖИВАНИЯ НАСЕЛЕНИЯ ВОЛЧАНСКОГО ГОРОДСКОГО ОКРУГА НА 2014-2027 ГОДЫ</w:t>
            </w:r>
          </w:p>
        </w:tc>
      </w:tr>
      <w:tr>
        <w:trPr>
          <w:trHeight w:val="80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подпрограмме,       </w:t>
              <w:br/>
              <w:t>в том числе: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196933,68150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189248,00140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tabs>
                <w:tab w:val="clear" w:pos="708"/>
                <w:tab w:val="left" w:pos="959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189444,46314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182090,67664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5034,76417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4879,80957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2454,45419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2277,5151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1" w:hRule="atLeast"/>
        </w:trPr>
        <w:tc>
          <w:tcPr>
            <w:tcW w:w="9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4. УЛУЧШЕНИЕ ЖИЛИЩНЫХ УСЛОВИЙ ГРАЖДАН, ПРОЖИВАЮЩИХ НА ТЕРРИТОРИИ ВОЛЧАНСКОГО ГОРОДСКОГО ОКРУГА</w:t>
            </w:r>
          </w:p>
        </w:tc>
      </w:tr>
      <w:tr>
        <w:trPr/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подпрограмме,       </w:t>
              <w:br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не предусмотрены мероприятия</w:t>
            </w:r>
          </w:p>
        </w:tc>
      </w:tr>
      <w:tr>
        <w:trPr/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78" w:hRule="atLeast"/>
        </w:trPr>
        <w:tc>
          <w:tcPr>
            <w:tcW w:w="9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5. ЭНЕРГОСБЕРЕЖЕНИЕ И ПОВЫШЕНИЕ ЭНЕРГЕТИЧЕСКОЙ ЭФФЕКТИВНОСТИ ВОЛЧАНСКОГО ГОРОДСКОГО ОКРУГА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подпрограмме,       </w:t>
              <w:br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34737,72334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34421,20667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17707,4000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17397,35731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17030,32334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17023,8493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6. ВОССТАНОВЛЕНИЕ И РАЗВИТИЕ ОБЪЕКТОВ ВНЕШНЕГО БЛАГОУСТРОЙСТВА ВОЛЧАНСКОГО ГОРОДСКОГО ОКРУГА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подпрограмме,       </w:t>
              <w:br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11607,23255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11312,2242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213,6000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118,2150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11393,63255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11194,00923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3" w:hRule="atLeast"/>
        </w:trPr>
        <w:tc>
          <w:tcPr>
            <w:tcW w:w="9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7. ОБЕСПЕЧЕНИЕ РЕАЛИЗАЦИИ МУНИЦИПАЛЬНОЙ ПРОГРАММЫ «РАЗВИТИЕ ЖИЛИЩНО-КОММУНАЛЬНОГО ХОЗЯЙСТВА И ПОВЫШЕНИЕ ЭНЕРГЕТИЧЕСКОЙ АКТИВНОСТИ В ВОЛЧАНСКОМ ГОРОДСКОМ ОКРУГЕ ДО 2027 ГОДА»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деятельности МКУ «УГХ»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23376,2340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23345,131,91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0,0000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0,000000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23376,2340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23345,13191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Ведущий специалист отдела ЖКХ,</w:t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Строительства и архитектуры Белобородова О.П. 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2027 ГОДА»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63" w:type="dxa"/>
        <w:jc w:val="left"/>
        <w:tblInd w:w="2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103"/>
        <w:gridCol w:w="4559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Значение Q1     (0,97)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 &lt;= Q1 &lt; 0,98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Неполное финансирование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6" w:type="dxa"/>
        <w:jc w:val="left"/>
        <w:tblInd w:w="2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685"/>
        <w:gridCol w:w="6000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Значение      (1)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0,95 &lt;= Q2 &lt;= 1,05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Высокая результативность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Оценка муниципальной программы – 4. Приемлемый уровень эффективности муниципальной программы.</w:t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РЕАЛИЗАЦИИ МУНИЦИПАЛЬНОЙ ПРОГРАММЫ 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2027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Подпрограмма 1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Волчанского городского округа»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Проводилась замена ветхих сетей водоснабжения и водоотведения. Оказано содействие МУП «ВТЭК» путем предоставления межбюджетных трансфертов на осуществление своевременных расчетов за топливно-энергетические ресурсы по обязательствам органов местного самоуправления. Разработана проектно-сметная документация на реконструкцию Северо-Волчанского водозаборного узла, выполнялись работы по технологическому присоединению объекта для начала реконструкции в 2023 году.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990" w:leader="none"/>
        </w:tabs>
        <w:spacing w:lineRule="auto" w:line="240" w:before="0"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 подпрограмме 2 «Развитие газификации Волчанского городского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округа»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выполнены и оплачены проектно-изыскательские работы, а так же строительно-монтажные работы  по газификации жилых домов, муниципального оздоровительного загородного лагеря «Республика Грин» и газовой котельной поселка Вьюжный.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Подпрограмма 3:  «Повышение качества условий проживания населения Волчанского  городского округа на 2014-2027 годы»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целях переселения граждан из аварийного жилищного фонда проинвестировано в строительство 2-х многоквартирных жилых домов в городе Волчанске по ул. М.Окружная д.99 и Социалистическая д.10. Объект по ул. М.Окружная д.99 введен в эксплуатацию и заселен в декабре 2022 года. Ввод объекта по ул. Социалистическая д. 10 – запланирован на 4 квартал 2023 г. Произведен выкуп 7 жилых помещений путем изъятия земельного участка и жилого помещения для муниципальных нужд.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Выполнены работы по обследованию части жилых домов, признанные аварийными жилые дома были снесены.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рамках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подпрограммы 5 «Энергосбережение и повышение энергетической эффективности Волчанского городского округа»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разработана проектно-сметная документация по уличному освещению улиц Кольцевая, М.Окружная, Краснотурьинская, Октябрьская, Уральского Комсомола, Центральная, Транспортная, Угольная, Уральская, Пушкина, Труда, Новая, 8Марта, Чайковского и Волчанская.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Выполнены и оплачены работы: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по техническому присоединению энергопринимающих устройств блочно-модульной котельной мощностью 32,5МВт;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проведение государственной экспертизы  изыскательских работ и 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проектно-сметной документации на строительство блочно-модульных котельных  мощностью 32,5 МВт в северной части города и 1,2 МВ в южной части города.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 подпрограмме 6: «Восстановление и развитие объектов внешнего благоустройства Волчанского городского округа»</w:t>
      </w:r>
      <w:r>
        <w:rPr>
          <w:rFonts w:cs="Times New Roman" w:ascii="Times New Roman" w:hAnsi="Times New Roman"/>
          <w:sz w:val="24"/>
          <w:szCs w:val="24"/>
          <w:lang w:eastAsia="ru-RU"/>
        </w:rPr>
        <w:t>. Выполнено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благоустройство территории городского округа и дворовых территорий (спиливание тополей и скашивание травы, санитарное обслуживание общественных территорий);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оплата уличного освещения;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приобретение материалов и проведение работ по обслуживанию уличного освещения;</w:t>
      </w:r>
    </w:p>
    <w:p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en-US"/>
        </w:rPr>
        <w:t>По подпрограмме  «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Обеспечение реализации муниципальной программы «Развитие жилищно-коммунального хозяйства и повышение энергетической активности в Волчанском городском округе до 2027 года» </w:t>
      </w:r>
      <w:r>
        <w:rPr>
          <w:rFonts w:cs="Times New Roman" w:ascii="Times New Roman" w:hAnsi="Times New Roman"/>
          <w:sz w:val="24"/>
          <w:szCs w:val="24"/>
        </w:rPr>
        <w:t xml:space="preserve">обеспечено содержание муниципального казенного учреждения «Управление городского хозяйства». </w:t>
      </w:r>
    </w:p>
    <w:p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казенное учреждение «Управление городского хозяйства» обеспечивает выполнение полномочий администрации Волчанского городского округа в сфере жилищно-коммунального хозяйства по всем направлениям. С 2012 года в состав учреждения вошла Единая дежурно-диспетчерская служба. </w:t>
      </w:r>
    </w:p>
    <w:sectPr>
      <w:type w:val="nextPage"/>
      <w:pgSz w:w="11906" w:h="16838"/>
      <w:pgMar w:left="1418" w:right="85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250a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37ebe"/>
    <w:pPr>
      <w:keepNext w:val="true"/>
      <w:spacing w:lineRule="auto" w:line="240" w:before="0" w:after="0"/>
      <w:jc w:val="center"/>
      <w:outlineLvl w:val="0"/>
    </w:pPr>
    <w:rPr>
      <w:rFonts w:cs="Times New Roman"/>
      <w:b/>
      <w:bCs/>
      <w:kern w:val="2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4c1581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sid w:val="00f43682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2" w:customStyle="1">
    <w:name w:val="Текст выноски Знак"/>
    <w:link w:val="a3"/>
    <w:uiPriority w:val="99"/>
    <w:semiHidden/>
    <w:qFormat/>
    <w:rsid w:val="00fe1b25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1"/>
    <w:uiPriority w:val="99"/>
    <w:qFormat/>
    <w:rsid w:val="00437ebe"/>
    <w:rPr>
      <w:rFonts w:ascii="Calibri" w:hAnsi="Calibri" w:cs="Calibri"/>
      <w:b/>
      <w:bCs/>
      <w:kern w:val="2"/>
      <w:sz w:val="28"/>
      <w:szCs w:val="28"/>
      <w:lang w:val="ru-RU" w:eastAsia="ru-RU"/>
    </w:rPr>
  </w:style>
  <w:style w:type="character" w:styleId="21" w:customStyle="1">
    <w:name w:val="Заголовок 2 Знак"/>
    <w:link w:val="2"/>
    <w:uiPriority w:val="99"/>
    <w:qFormat/>
    <w:rsid w:val="004c1581"/>
    <w:rPr>
      <w:rFonts w:ascii="Arial" w:hAnsi="Arial" w:eastAsia="Times New Roman"/>
      <w:b/>
      <w:bCs/>
      <w:i/>
      <w:i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onsPlusCell" w:customStyle="1">
    <w:name w:val="ConsPlusCell"/>
    <w:uiPriority w:val="99"/>
    <w:qFormat/>
    <w:rsid w:val="0095250a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fe1b25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3" w:customStyle="1">
    <w:name w:val="Знак Знак3"/>
    <w:basedOn w:val="Normal"/>
    <w:uiPriority w:val="99"/>
    <w:qFormat/>
    <w:rsid w:val="009a3e04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40285"/>
    <w:pPr>
      <w:ind w:left="720" w:hanging="0"/>
    </w:pPr>
    <w:rPr>
      <w:rFonts w:eastAsia="Times New Roman"/>
      <w:lang w:eastAsia="ru-RU"/>
    </w:rPr>
  </w:style>
  <w:style w:type="paragraph" w:styleId="31" w:customStyle="1">
    <w:name w:val="Знак Знак31"/>
    <w:basedOn w:val="Normal"/>
    <w:uiPriority w:val="99"/>
    <w:qFormat/>
    <w:rsid w:val="00de1a66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D50C-3F18-4F4A-813C-8D1FA02B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LibreOffice/7.1.7.2$Windows_X86_64 LibreOffice_project/c6a4e3954236145e2acb0b65f68614365aeee33f</Application>
  <AppVersion>15.0000</AppVersion>
  <Pages>9</Pages>
  <Words>1201</Words>
  <Characters>9015</Characters>
  <CharactersWithSpaces>10254</CharactersWithSpaces>
  <Paragraphs>283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2023-03-24T10:35:00Z</dcterms:created>
  <dc:creator>User</dc:creator>
  <dc:description/>
  <dc:language>ru-RU</dc:language>
  <cp:lastModifiedBy/>
  <cp:lastPrinted>2023-05-24T15:59:58Z</cp:lastPrinted>
  <dcterms:modified xsi:type="dcterms:W3CDTF">2023-05-24T16:02:01Z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