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25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225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C44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D35" w:rsidRPr="00C44225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7D35" w:rsidRPr="00C44225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</w:p>
    <w:p w:rsidR="00EA7D35" w:rsidRPr="00C44225" w:rsidRDefault="00EA7D3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225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8C673D" w:rsidRPr="00C44225" w:rsidRDefault="00EA7D3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225">
        <w:rPr>
          <w:rFonts w:ascii="Times New Roman" w:hAnsi="Times New Roman" w:cs="Times New Roman"/>
          <w:sz w:val="24"/>
          <w:szCs w:val="24"/>
        </w:rPr>
        <w:t>«</w:t>
      </w:r>
      <w:r w:rsidR="008C673D" w:rsidRPr="00C44225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</w:t>
      </w:r>
    </w:p>
    <w:p w:rsidR="008C673D" w:rsidRPr="00C44225" w:rsidRDefault="008C673D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225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="0017361C" w:rsidRPr="00C4422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7361C" w:rsidRPr="00C44225" w:rsidRDefault="0017361C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73D" w:rsidRDefault="008C673D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273" w:rsidRDefault="0017361C" w:rsidP="00C44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программа Волчанского городского округа</w:t>
      </w:r>
      <w:r w:rsidR="00546414">
        <w:rPr>
          <w:rFonts w:ascii="Times New Roman" w:hAnsi="Times New Roman" w:cs="Times New Roman"/>
          <w:sz w:val="28"/>
          <w:szCs w:val="28"/>
        </w:rPr>
        <w:t xml:space="preserve"> </w:t>
      </w:r>
      <w:r w:rsidRPr="00EA7D35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35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на 2014-2020 годы утверждена постановлением главы Волчанского городского округа от 30.12.2013 года № </w:t>
      </w:r>
      <w:r w:rsidR="00546414">
        <w:rPr>
          <w:rFonts w:ascii="Times New Roman" w:hAnsi="Times New Roman" w:cs="Times New Roman"/>
          <w:sz w:val="28"/>
          <w:szCs w:val="28"/>
        </w:rPr>
        <w:t>1031</w:t>
      </w:r>
      <w:r w:rsidR="006338A2">
        <w:rPr>
          <w:rFonts w:ascii="Times New Roman" w:hAnsi="Times New Roman" w:cs="Times New Roman"/>
          <w:sz w:val="28"/>
          <w:szCs w:val="28"/>
        </w:rPr>
        <w:t>, из</w:t>
      </w:r>
      <w:r w:rsidR="009D3B5F">
        <w:rPr>
          <w:rFonts w:ascii="Times New Roman" w:hAnsi="Times New Roman" w:cs="Times New Roman"/>
          <w:sz w:val="28"/>
          <w:szCs w:val="28"/>
        </w:rPr>
        <w:t xml:space="preserve">менения </w:t>
      </w:r>
      <w:r w:rsidR="006338A2">
        <w:rPr>
          <w:rFonts w:ascii="Times New Roman" w:hAnsi="Times New Roman" w:cs="Times New Roman"/>
          <w:sz w:val="28"/>
          <w:szCs w:val="28"/>
        </w:rPr>
        <w:t xml:space="preserve"> </w:t>
      </w:r>
      <w:r w:rsidR="009D3B5F">
        <w:rPr>
          <w:rFonts w:ascii="Times New Roman" w:hAnsi="Times New Roman" w:cs="Times New Roman"/>
          <w:sz w:val="28"/>
          <w:szCs w:val="28"/>
        </w:rPr>
        <w:t>в муниципальную программу вносились постановлениями  главы  Волчанск</w:t>
      </w:r>
      <w:r w:rsidR="003257D4">
        <w:rPr>
          <w:rFonts w:ascii="Times New Roman" w:hAnsi="Times New Roman" w:cs="Times New Roman"/>
          <w:sz w:val="28"/>
          <w:szCs w:val="28"/>
        </w:rPr>
        <w:t xml:space="preserve">ого городского округа </w:t>
      </w:r>
      <w:r w:rsidR="009D3B5F">
        <w:rPr>
          <w:rFonts w:ascii="Times New Roman" w:hAnsi="Times New Roman" w:cs="Times New Roman"/>
          <w:sz w:val="28"/>
          <w:szCs w:val="28"/>
        </w:rPr>
        <w:t xml:space="preserve">от  30.12.2014 года № 1147, от 11.06.2015 года № 410, </w:t>
      </w:r>
      <w:r w:rsidR="007E553C">
        <w:rPr>
          <w:rFonts w:ascii="Times New Roman" w:hAnsi="Times New Roman" w:cs="Times New Roman"/>
          <w:sz w:val="28"/>
          <w:szCs w:val="28"/>
        </w:rPr>
        <w:t xml:space="preserve"> от</w:t>
      </w:r>
      <w:r w:rsidR="00D860D7">
        <w:rPr>
          <w:rFonts w:ascii="Times New Roman" w:hAnsi="Times New Roman" w:cs="Times New Roman"/>
          <w:sz w:val="28"/>
          <w:szCs w:val="28"/>
        </w:rPr>
        <w:t xml:space="preserve"> </w:t>
      </w:r>
      <w:r w:rsidR="007E553C">
        <w:rPr>
          <w:rFonts w:ascii="Times New Roman" w:hAnsi="Times New Roman" w:cs="Times New Roman"/>
          <w:sz w:val="28"/>
          <w:szCs w:val="28"/>
        </w:rPr>
        <w:t xml:space="preserve"> 24.12.2015 года № 933</w:t>
      </w:r>
      <w:r w:rsidR="00E37C79">
        <w:rPr>
          <w:rFonts w:ascii="Times New Roman" w:hAnsi="Times New Roman" w:cs="Times New Roman"/>
          <w:sz w:val="28"/>
          <w:szCs w:val="28"/>
        </w:rPr>
        <w:t>, от 30.12.2016 года № 821</w:t>
      </w:r>
      <w:r w:rsidR="007E553C">
        <w:rPr>
          <w:rFonts w:ascii="Times New Roman" w:hAnsi="Times New Roman" w:cs="Times New Roman"/>
          <w:sz w:val="28"/>
          <w:szCs w:val="28"/>
        </w:rPr>
        <w:t xml:space="preserve"> изменения  </w:t>
      </w:r>
      <w:r w:rsidR="000A544A">
        <w:rPr>
          <w:rFonts w:ascii="Times New Roman" w:hAnsi="Times New Roman" w:cs="Times New Roman"/>
          <w:sz w:val="28"/>
          <w:szCs w:val="28"/>
        </w:rPr>
        <w:t xml:space="preserve">вносились в </w:t>
      </w:r>
      <w:r w:rsidR="003257D4">
        <w:rPr>
          <w:rFonts w:ascii="Times New Roman" w:hAnsi="Times New Roman" w:cs="Times New Roman"/>
          <w:sz w:val="28"/>
          <w:szCs w:val="28"/>
        </w:rPr>
        <w:t xml:space="preserve">целевые показатели и </w:t>
      </w:r>
      <w:r w:rsidR="000A544A">
        <w:rPr>
          <w:rFonts w:ascii="Times New Roman" w:hAnsi="Times New Roman" w:cs="Times New Roman"/>
          <w:sz w:val="28"/>
          <w:szCs w:val="28"/>
        </w:rPr>
        <w:t>объемы расходов на выполнение</w:t>
      </w:r>
      <w:proofErr w:type="gramEnd"/>
      <w:r w:rsidR="000A544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gramStart"/>
      <w:r w:rsidR="003257D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3257D4">
        <w:rPr>
          <w:rFonts w:ascii="Times New Roman" w:hAnsi="Times New Roman" w:cs="Times New Roman"/>
          <w:sz w:val="28"/>
          <w:szCs w:val="28"/>
        </w:rPr>
        <w:t xml:space="preserve"> программы. </w:t>
      </w:r>
      <w:r w:rsidR="00546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414" w:rsidRDefault="00546414" w:rsidP="00C44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65">
        <w:rPr>
          <w:rFonts w:ascii="Times New Roman" w:hAnsi="Times New Roman" w:cs="Times New Roman"/>
          <w:sz w:val="28"/>
          <w:szCs w:val="28"/>
        </w:rPr>
        <w:t xml:space="preserve">Фактически финансирование программы </w:t>
      </w:r>
      <w:r w:rsidR="003257D4" w:rsidRPr="00F10C65">
        <w:rPr>
          <w:rFonts w:ascii="Times New Roman" w:hAnsi="Times New Roman" w:cs="Times New Roman"/>
          <w:sz w:val="28"/>
          <w:szCs w:val="28"/>
        </w:rPr>
        <w:t>за 201</w:t>
      </w:r>
      <w:r w:rsidR="00E37C79" w:rsidRPr="00F10C65">
        <w:rPr>
          <w:rFonts w:ascii="Times New Roman" w:hAnsi="Times New Roman" w:cs="Times New Roman"/>
          <w:sz w:val="28"/>
          <w:szCs w:val="28"/>
        </w:rPr>
        <w:t>6</w:t>
      </w:r>
      <w:r w:rsidR="003257D4" w:rsidRPr="00F10C6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10C6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37C79" w:rsidRPr="00F10C65">
        <w:rPr>
          <w:rFonts w:ascii="Times New Roman" w:hAnsi="Times New Roman" w:cs="Times New Roman"/>
          <w:sz w:val="28"/>
          <w:szCs w:val="28"/>
        </w:rPr>
        <w:t>4 393 397,02</w:t>
      </w:r>
      <w:r w:rsidRPr="00F10C65">
        <w:rPr>
          <w:rFonts w:ascii="Times New Roman" w:hAnsi="Times New Roman" w:cs="Times New Roman"/>
          <w:sz w:val="28"/>
          <w:szCs w:val="28"/>
        </w:rPr>
        <w:t xml:space="preserve"> рубл</w:t>
      </w:r>
      <w:r w:rsidR="00BB4273" w:rsidRPr="00F10C65">
        <w:rPr>
          <w:rFonts w:ascii="Times New Roman" w:hAnsi="Times New Roman" w:cs="Times New Roman"/>
          <w:sz w:val="28"/>
          <w:szCs w:val="28"/>
        </w:rPr>
        <w:t>ей</w:t>
      </w:r>
      <w:r w:rsidRPr="00F10C65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E37C79" w:rsidRPr="00F10C65">
        <w:rPr>
          <w:rFonts w:ascii="Times New Roman" w:hAnsi="Times New Roman" w:cs="Times New Roman"/>
          <w:sz w:val="28"/>
          <w:szCs w:val="28"/>
        </w:rPr>
        <w:t>99,6</w:t>
      </w:r>
      <w:r w:rsidRPr="00F10C65">
        <w:rPr>
          <w:rFonts w:ascii="Times New Roman" w:hAnsi="Times New Roman" w:cs="Times New Roman"/>
          <w:sz w:val="28"/>
          <w:szCs w:val="28"/>
        </w:rPr>
        <w:t xml:space="preserve">% от плановых значений. Значение показателя </w:t>
      </w:r>
      <w:r w:rsidR="00B77490" w:rsidRPr="00F10C65">
        <w:rPr>
          <w:rFonts w:ascii="Times New Roman" w:hAnsi="Times New Roman" w:cs="Times New Roman"/>
          <w:sz w:val="28"/>
          <w:szCs w:val="28"/>
        </w:rPr>
        <w:t xml:space="preserve">оценки полноты финансирования </w:t>
      </w:r>
      <w:r w:rsidR="00BB4273" w:rsidRPr="00F10C65">
        <w:rPr>
          <w:rFonts w:ascii="Times New Roman" w:hAnsi="Times New Roman" w:cs="Times New Roman"/>
          <w:sz w:val="28"/>
          <w:szCs w:val="28"/>
        </w:rPr>
        <w:t>Q1</w:t>
      </w:r>
      <w:r w:rsidR="006338A2" w:rsidRPr="00F10C65">
        <w:rPr>
          <w:rFonts w:ascii="Times New Roman" w:hAnsi="Times New Roman" w:cs="Times New Roman"/>
          <w:sz w:val="28"/>
          <w:szCs w:val="28"/>
        </w:rPr>
        <w:t xml:space="preserve"> </w:t>
      </w:r>
      <w:r w:rsidR="00BB4273" w:rsidRPr="00F10C65">
        <w:rPr>
          <w:rFonts w:ascii="Times New Roman" w:hAnsi="Times New Roman" w:cs="Times New Roman"/>
          <w:sz w:val="28"/>
          <w:szCs w:val="28"/>
        </w:rPr>
        <w:t xml:space="preserve">= </w:t>
      </w:r>
      <w:r w:rsidR="00E37C79" w:rsidRPr="00F10C65">
        <w:rPr>
          <w:rFonts w:ascii="Times New Roman" w:hAnsi="Times New Roman" w:cs="Times New Roman"/>
          <w:sz w:val="28"/>
          <w:szCs w:val="28"/>
        </w:rPr>
        <w:t>4 393 397,02</w:t>
      </w:r>
      <w:r w:rsidR="00BB4273" w:rsidRPr="00F10C65">
        <w:rPr>
          <w:rFonts w:ascii="Times New Roman" w:hAnsi="Times New Roman" w:cs="Times New Roman"/>
          <w:sz w:val="28"/>
          <w:szCs w:val="28"/>
        </w:rPr>
        <w:t xml:space="preserve"> </w:t>
      </w:r>
      <w:r w:rsidRPr="00F10C65">
        <w:rPr>
          <w:rFonts w:ascii="Times New Roman" w:hAnsi="Times New Roman" w:cs="Times New Roman"/>
          <w:sz w:val="28"/>
          <w:szCs w:val="28"/>
        </w:rPr>
        <w:t>/</w:t>
      </w:r>
      <w:r w:rsidR="00BB4273" w:rsidRPr="00F10C65">
        <w:rPr>
          <w:rFonts w:ascii="Times New Roman" w:hAnsi="Times New Roman" w:cs="Times New Roman"/>
          <w:sz w:val="28"/>
          <w:szCs w:val="28"/>
        </w:rPr>
        <w:t xml:space="preserve"> </w:t>
      </w:r>
      <w:r w:rsidR="009743A5" w:rsidRPr="00F10C65">
        <w:rPr>
          <w:rFonts w:ascii="Times New Roman" w:hAnsi="Times New Roman" w:cs="Times New Roman"/>
          <w:sz w:val="28"/>
          <w:szCs w:val="28"/>
        </w:rPr>
        <w:t>4 410 000,00</w:t>
      </w:r>
      <w:r w:rsidR="00BB4273" w:rsidRPr="00F10C65">
        <w:rPr>
          <w:rFonts w:ascii="Times New Roman" w:hAnsi="Times New Roman" w:cs="Times New Roman"/>
          <w:sz w:val="28"/>
          <w:szCs w:val="28"/>
        </w:rPr>
        <w:t xml:space="preserve"> </w:t>
      </w:r>
      <w:r w:rsidRPr="00F10C65">
        <w:rPr>
          <w:rFonts w:ascii="Times New Roman" w:hAnsi="Times New Roman" w:cs="Times New Roman"/>
          <w:sz w:val="28"/>
          <w:szCs w:val="28"/>
        </w:rPr>
        <w:t xml:space="preserve">= </w:t>
      </w:r>
      <w:r w:rsidR="009743A5" w:rsidRPr="00F10C65">
        <w:rPr>
          <w:rFonts w:ascii="Times New Roman" w:hAnsi="Times New Roman" w:cs="Times New Roman"/>
          <w:sz w:val="28"/>
          <w:szCs w:val="28"/>
        </w:rPr>
        <w:t>1</w:t>
      </w:r>
      <w:r w:rsidR="00112FD3">
        <w:rPr>
          <w:rFonts w:ascii="Times New Roman" w:hAnsi="Times New Roman" w:cs="Times New Roman"/>
          <w:sz w:val="28"/>
          <w:szCs w:val="28"/>
        </w:rPr>
        <w:t xml:space="preserve"> соответствует оценке «П</w:t>
      </w:r>
      <w:r w:rsidRPr="00F10C65">
        <w:rPr>
          <w:rFonts w:ascii="Times New Roman" w:hAnsi="Times New Roman" w:cs="Times New Roman"/>
          <w:sz w:val="28"/>
          <w:szCs w:val="28"/>
        </w:rPr>
        <w:t>олное финансирование»</w:t>
      </w:r>
      <w:r w:rsidR="00B77490" w:rsidRPr="00F10C65">
        <w:rPr>
          <w:rFonts w:ascii="Times New Roman" w:hAnsi="Times New Roman" w:cs="Times New Roman"/>
          <w:sz w:val="28"/>
          <w:szCs w:val="28"/>
        </w:rPr>
        <w:t>.</w:t>
      </w:r>
    </w:p>
    <w:p w:rsidR="00546414" w:rsidRPr="00F10C65" w:rsidRDefault="00B77490" w:rsidP="00C44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65">
        <w:rPr>
          <w:rFonts w:ascii="Times New Roman" w:hAnsi="Times New Roman" w:cs="Times New Roman"/>
          <w:sz w:val="28"/>
          <w:szCs w:val="28"/>
        </w:rPr>
        <w:t xml:space="preserve">Выполнение целевых показателей  исполнено на </w:t>
      </w:r>
      <w:r w:rsidR="008C673D" w:rsidRPr="00F10C65">
        <w:rPr>
          <w:rFonts w:ascii="Times New Roman" w:hAnsi="Times New Roman" w:cs="Times New Roman"/>
          <w:sz w:val="28"/>
          <w:szCs w:val="28"/>
        </w:rPr>
        <w:t>7</w:t>
      </w:r>
      <w:r w:rsidR="00F10C65" w:rsidRPr="00F10C65">
        <w:rPr>
          <w:rFonts w:ascii="Times New Roman" w:hAnsi="Times New Roman" w:cs="Times New Roman"/>
          <w:sz w:val="28"/>
          <w:szCs w:val="28"/>
        </w:rPr>
        <w:t>1,5</w:t>
      </w:r>
      <w:r w:rsidR="008C673D" w:rsidRPr="00F10C65">
        <w:rPr>
          <w:rFonts w:ascii="Times New Roman" w:hAnsi="Times New Roman" w:cs="Times New Roman"/>
          <w:sz w:val="28"/>
          <w:szCs w:val="28"/>
        </w:rPr>
        <w:t>%. Оценка достижения плановых значений целевых показателей Q2 = 0,7</w:t>
      </w:r>
      <w:r w:rsidR="00171F69" w:rsidRPr="00F10C65">
        <w:rPr>
          <w:rFonts w:ascii="Times New Roman" w:hAnsi="Times New Roman" w:cs="Times New Roman"/>
          <w:sz w:val="28"/>
          <w:szCs w:val="28"/>
        </w:rPr>
        <w:t>2</w:t>
      </w:r>
      <w:r w:rsidR="008C673D" w:rsidRPr="00F10C65">
        <w:rPr>
          <w:rFonts w:ascii="Times New Roman" w:hAnsi="Times New Roman" w:cs="Times New Roman"/>
          <w:sz w:val="28"/>
          <w:szCs w:val="28"/>
        </w:rPr>
        <w:t xml:space="preserve"> соответствует средней результативности (недовыполнение плана). </w:t>
      </w:r>
    </w:p>
    <w:p w:rsidR="008C673D" w:rsidRDefault="008C673D" w:rsidP="00C44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65">
        <w:rPr>
          <w:rFonts w:ascii="Times New Roman" w:hAnsi="Times New Roman" w:cs="Times New Roman"/>
          <w:sz w:val="28"/>
          <w:szCs w:val="28"/>
        </w:rPr>
        <w:t xml:space="preserve">Значение оценки эффективности муниципальной программы Волчанского городского округа «Управление муниципальными финансами  Волчанского городского округа» соответствует оценке </w:t>
      </w:r>
      <w:r w:rsidR="00F10C65" w:rsidRPr="00F10C65">
        <w:rPr>
          <w:rFonts w:ascii="Times New Roman" w:hAnsi="Times New Roman" w:cs="Times New Roman"/>
          <w:sz w:val="28"/>
          <w:szCs w:val="28"/>
        </w:rPr>
        <w:t>3</w:t>
      </w:r>
      <w:r w:rsidRPr="00F10C65">
        <w:rPr>
          <w:rFonts w:ascii="Times New Roman" w:hAnsi="Times New Roman" w:cs="Times New Roman"/>
          <w:sz w:val="28"/>
          <w:szCs w:val="28"/>
        </w:rPr>
        <w:t xml:space="preserve"> «</w:t>
      </w:r>
      <w:r w:rsidR="00F10C65">
        <w:rPr>
          <w:rFonts w:ascii="Times New Roman" w:hAnsi="Times New Roman" w:cs="Times New Roman"/>
          <w:sz w:val="28"/>
          <w:szCs w:val="28"/>
        </w:rPr>
        <w:t>С</w:t>
      </w:r>
      <w:r w:rsidR="00F10C65" w:rsidRPr="00F10C65">
        <w:rPr>
          <w:rFonts w:ascii="Times New Roman" w:hAnsi="Times New Roman" w:cs="Times New Roman"/>
          <w:sz w:val="28"/>
          <w:szCs w:val="28"/>
        </w:rPr>
        <w:t>редний уровень эффективности муниципальной программы</w:t>
      </w:r>
      <w:r w:rsidRPr="00F10C65">
        <w:rPr>
          <w:rFonts w:ascii="Times New Roman" w:hAnsi="Times New Roman" w:cs="Times New Roman"/>
          <w:sz w:val="28"/>
          <w:szCs w:val="28"/>
        </w:rPr>
        <w:t>».</w:t>
      </w:r>
      <w:r w:rsidRPr="00F10C65">
        <w:rPr>
          <w:rFonts w:ascii="Times New Roman" w:hAnsi="Times New Roman" w:cs="Times New Roman"/>
          <w:sz w:val="24"/>
          <w:szCs w:val="24"/>
        </w:rPr>
        <w:t xml:space="preserve"> </w:t>
      </w:r>
      <w:r w:rsidR="00F10C65">
        <w:rPr>
          <w:rFonts w:ascii="Times New Roman" w:hAnsi="Times New Roman" w:cs="Times New Roman"/>
          <w:sz w:val="28"/>
          <w:szCs w:val="28"/>
        </w:rPr>
        <w:t>Дальнейшие действия: возможен пересмотр муниципальной программы в части корректировки целевых показателей</w:t>
      </w:r>
      <w:r w:rsidR="00112FD3">
        <w:rPr>
          <w:rFonts w:ascii="Times New Roman" w:hAnsi="Times New Roman" w:cs="Times New Roman"/>
          <w:sz w:val="28"/>
          <w:szCs w:val="28"/>
        </w:rPr>
        <w:t xml:space="preserve"> (уменьшение плановых значений)</w:t>
      </w:r>
      <w:r w:rsidRPr="00F10C65">
        <w:rPr>
          <w:rFonts w:ascii="Times New Roman" w:hAnsi="Times New Roman" w:cs="Times New Roman"/>
          <w:sz w:val="28"/>
          <w:szCs w:val="28"/>
        </w:rPr>
        <w:t>.</w:t>
      </w:r>
    </w:p>
    <w:p w:rsidR="00691D7F" w:rsidRDefault="00691D7F" w:rsidP="00C4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69" w:rsidRDefault="00171F69" w:rsidP="00C4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69" w:rsidRDefault="00171F69" w:rsidP="00C4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69" w:rsidRDefault="00171F69" w:rsidP="00C4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2EB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</w:t>
      </w:r>
    </w:p>
    <w:p w:rsidR="00C44225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EA7D35" w:rsidRPr="00BE210F" w:rsidRDefault="00CA3BAE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CA3BAE" w:rsidRPr="00C44225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225">
        <w:rPr>
          <w:rFonts w:ascii="Times New Roman" w:hAnsi="Times New Roman" w:cs="Times New Roman"/>
          <w:sz w:val="24"/>
          <w:szCs w:val="24"/>
        </w:rPr>
        <w:t>«УПРАВЛЕНИЕ МУНИЦИПАЛЬНЫМИ ФИНАНСАМИ</w:t>
      </w:r>
    </w:p>
    <w:p w:rsidR="00CA3BAE" w:rsidRPr="00C44225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225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ОКРУГА» НА 2014-2020 ГОДЫ</w:t>
      </w:r>
    </w:p>
    <w:p w:rsidR="00C44225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C44225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C44225" w:rsidRPr="00C44225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225">
        <w:rPr>
          <w:rFonts w:ascii="Times New Roman" w:hAnsi="Times New Roman" w:cs="Times New Roman"/>
          <w:sz w:val="24"/>
          <w:szCs w:val="24"/>
        </w:rPr>
        <w:t>«УПРАВЛЕНИЕ МУНИЦИПАЛЬНЫМИ ФИНАНСАМИ</w:t>
      </w:r>
    </w:p>
    <w:p w:rsidR="00C44225" w:rsidRPr="00C44225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225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ОКРУГА» НА 2014-2020 ГОДЫ</w:t>
      </w:r>
    </w:p>
    <w:p w:rsidR="00C44225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BE210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E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E210F">
        <w:rPr>
          <w:rFonts w:ascii="Times New Roman" w:hAnsi="Times New Roman" w:cs="Times New Roman"/>
          <w:sz w:val="24"/>
          <w:szCs w:val="24"/>
        </w:rPr>
        <w:t>.</w:t>
      </w:r>
    </w:p>
    <w:p w:rsidR="00EA7D35" w:rsidRPr="00BE210F" w:rsidRDefault="00EA7D35" w:rsidP="00EA7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7"/>
        <w:gridCol w:w="2192"/>
        <w:gridCol w:w="1270"/>
        <w:gridCol w:w="860"/>
        <w:gridCol w:w="841"/>
        <w:gridCol w:w="19"/>
        <w:gridCol w:w="980"/>
        <w:gridCol w:w="2552"/>
      </w:tblGrid>
      <w:tr w:rsidR="00EA7D35" w:rsidRPr="00BE210F" w:rsidTr="00C44225">
        <w:trPr>
          <w:trHeight w:val="740"/>
          <w:tblCellSpacing w:w="5" w:type="nil"/>
        </w:trPr>
        <w:tc>
          <w:tcPr>
            <w:tcW w:w="717" w:type="dxa"/>
            <w:vMerge w:val="restart"/>
            <w:vAlign w:val="center"/>
          </w:tcPr>
          <w:p w:rsidR="00EA7D35" w:rsidRPr="00BE210F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2" w:type="dxa"/>
            <w:vMerge w:val="restart"/>
            <w:vAlign w:val="center"/>
          </w:tcPr>
          <w:p w:rsidR="00EA7D35" w:rsidRPr="00BE210F" w:rsidRDefault="00EA7D35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270" w:type="dxa"/>
            <w:vMerge w:val="restart"/>
            <w:vAlign w:val="center"/>
          </w:tcPr>
          <w:p w:rsidR="00EA7D35" w:rsidRPr="00BE210F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20" w:type="dxa"/>
            <w:gridSpan w:val="3"/>
            <w:vAlign w:val="center"/>
          </w:tcPr>
          <w:p w:rsidR="00EA7D35" w:rsidRPr="00BE210F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80" w:type="dxa"/>
            <w:vMerge w:val="restart"/>
            <w:vAlign w:val="center"/>
          </w:tcPr>
          <w:p w:rsidR="00EA7D35" w:rsidRPr="00BE210F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552" w:type="dxa"/>
            <w:vMerge w:val="restart"/>
            <w:vAlign w:val="center"/>
          </w:tcPr>
          <w:p w:rsidR="00EA7D35" w:rsidRPr="00BE210F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="00CA3BA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  <w:r w:rsidR="00850D5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EA7D35" w:rsidRPr="00BE210F" w:rsidTr="00C44225">
        <w:trPr>
          <w:trHeight w:val="555"/>
          <w:tblCellSpacing w:w="5" w:type="nil"/>
        </w:trPr>
        <w:tc>
          <w:tcPr>
            <w:tcW w:w="717" w:type="dxa"/>
            <w:vMerge/>
            <w:vAlign w:val="center"/>
          </w:tcPr>
          <w:p w:rsidR="00EA7D35" w:rsidRPr="00BE210F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  <w:vAlign w:val="center"/>
          </w:tcPr>
          <w:p w:rsidR="00EA7D35" w:rsidRPr="00BE210F" w:rsidRDefault="00EA7D35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EA7D35" w:rsidRPr="00BE210F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EA7D35" w:rsidRPr="00BE210F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0" w:type="dxa"/>
            <w:gridSpan w:val="2"/>
            <w:vAlign w:val="center"/>
          </w:tcPr>
          <w:p w:rsidR="00EA7D35" w:rsidRPr="00BE210F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80" w:type="dxa"/>
            <w:vMerge/>
            <w:vAlign w:val="center"/>
          </w:tcPr>
          <w:p w:rsidR="00EA7D35" w:rsidRPr="00BE210F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A7D35" w:rsidRPr="00BE210F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44225" w:rsidTr="00C44225">
        <w:trPr>
          <w:trHeight w:val="264"/>
          <w:tblCellSpacing w:w="5" w:type="nil"/>
        </w:trPr>
        <w:tc>
          <w:tcPr>
            <w:tcW w:w="717" w:type="dxa"/>
            <w:vAlign w:val="center"/>
          </w:tcPr>
          <w:p w:rsidR="00CA3BAE" w:rsidRPr="00C44225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4" w:type="dxa"/>
            <w:gridSpan w:val="7"/>
            <w:vAlign w:val="center"/>
          </w:tcPr>
          <w:p w:rsidR="00CA3BAE" w:rsidRPr="00C44225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Цель 1 «Повышение финансовой устойчивости бюджета городского округа»</w:t>
            </w:r>
          </w:p>
        </w:tc>
      </w:tr>
      <w:tr w:rsidR="00CA3BAE" w:rsidRPr="00C44225" w:rsidTr="00C44225">
        <w:trPr>
          <w:trHeight w:val="499"/>
          <w:tblCellSpacing w:w="5" w:type="nil"/>
        </w:trPr>
        <w:tc>
          <w:tcPr>
            <w:tcW w:w="717" w:type="dxa"/>
            <w:vAlign w:val="center"/>
          </w:tcPr>
          <w:p w:rsidR="00CA3BAE" w:rsidRPr="00C44225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14" w:type="dxa"/>
            <w:gridSpan w:val="7"/>
            <w:vAlign w:val="center"/>
          </w:tcPr>
          <w:p w:rsidR="00CA3BAE" w:rsidRPr="00C44225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Задача «Увеличение налоговых и неналоговых доходов бюджета городского округа»</w:t>
            </w:r>
          </w:p>
        </w:tc>
      </w:tr>
      <w:tr w:rsidR="00CD18D1" w:rsidRPr="00CA3BAE" w:rsidTr="00C44225">
        <w:trPr>
          <w:trHeight w:val="1407"/>
          <w:tblCellSpacing w:w="5" w:type="nil"/>
        </w:trPr>
        <w:tc>
          <w:tcPr>
            <w:tcW w:w="717" w:type="dxa"/>
            <w:vAlign w:val="center"/>
          </w:tcPr>
          <w:p w:rsidR="00CD18D1" w:rsidRPr="00CA3BAE" w:rsidRDefault="00CD18D1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92" w:type="dxa"/>
            <w:vAlign w:val="center"/>
          </w:tcPr>
          <w:p w:rsidR="00CD18D1" w:rsidRPr="00CA3BAE" w:rsidRDefault="00CD18D1" w:rsidP="00C4422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Темп роста объема налоговых и неналоговых доходов местных бюджетов (в сопоставимых условиях)</w:t>
            </w:r>
          </w:p>
        </w:tc>
        <w:tc>
          <w:tcPr>
            <w:tcW w:w="1270" w:type="dxa"/>
            <w:vAlign w:val="center"/>
          </w:tcPr>
          <w:p w:rsidR="00CD18D1" w:rsidRPr="00CA3BAE" w:rsidRDefault="00CD18D1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60" w:type="dxa"/>
            <w:vAlign w:val="center"/>
          </w:tcPr>
          <w:p w:rsidR="00CD18D1" w:rsidRPr="00CA3BAE" w:rsidRDefault="00CD18D1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2"/>
            <w:vAlign w:val="center"/>
          </w:tcPr>
          <w:p w:rsidR="00CD18D1" w:rsidRPr="00007899" w:rsidRDefault="007C4F16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-18,8</w:t>
            </w:r>
          </w:p>
        </w:tc>
        <w:tc>
          <w:tcPr>
            <w:tcW w:w="980" w:type="dxa"/>
            <w:vAlign w:val="center"/>
          </w:tcPr>
          <w:p w:rsidR="00CD18D1" w:rsidRPr="00007899" w:rsidRDefault="007C4F16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- 376</w:t>
            </w:r>
          </w:p>
        </w:tc>
        <w:tc>
          <w:tcPr>
            <w:tcW w:w="2552" w:type="dxa"/>
            <w:vAlign w:val="center"/>
          </w:tcPr>
          <w:p w:rsidR="00CD18D1" w:rsidRPr="00007899" w:rsidRDefault="007C4F16" w:rsidP="00C44225">
            <w:pPr>
              <w:pStyle w:val="50"/>
              <w:shd w:val="clear" w:color="auto" w:fill="auto"/>
              <w:spacing w:before="0" w:after="0" w:line="277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C4F16">
              <w:rPr>
                <w:sz w:val="22"/>
                <w:szCs w:val="22"/>
              </w:rPr>
              <w:t>Невыполнение показателя обусловлено снижением поступлений по налогу на доходы физических лиц, по единому налогу на вмененный доход для отдельных видов деятельности</w:t>
            </w:r>
            <w:r w:rsidR="005C0198">
              <w:rPr>
                <w:sz w:val="22"/>
                <w:szCs w:val="22"/>
              </w:rPr>
              <w:t>.</w:t>
            </w:r>
            <w:r w:rsidRPr="007C4F16">
              <w:rPr>
                <w:sz w:val="22"/>
                <w:szCs w:val="22"/>
              </w:rPr>
              <w:t xml:space="preserve"> </w:t>
            </w:r>
            <w:r w:rsidR="005C0198">
              <w:rPr>
                <w:sz w:val="22"/>
                <w:szCs w:val="22"/>
              </w:rPr>
              <w:t>П</w:t>
            </w:r>
            <w:r w:rsidRPr="007C4F16">
              <w:rPr>
                <w:sz w:val="22"/>
                <w:szCs w:val="22"/>
              </w:rPr>
              <w:t>о прочим доходам от оказания платных услуг (в части платы за присмотр и уход за детьми, осваивающими образовательные программы дошкольного образования в казенных муниципальных образовательных организациях), по прочим доходам от оказания платных услуг (оказываемым учреждениями культуры)</w:t>
            </w:r>
            <w:r w:rsidR="005C0198">
              <w:rPr>
                <w:sz w:val="22"/>
                <w:szCs w:val="22"/>
              </w:rPr>
              <w:t xml:space="preserve"> в связи с изменением типа учреждений </w:t>
            </w:r>
            <w:proofErr w:type="gramStart"/>
            <w:r w:rsidR="005C0198">
              <w:rPr>
                <w:sz w:val="22"/>
                <w:szCs w:val="22"/>
              </w:rPr>
              <w:t>с</w:t>
            </w:r>
            <w:proofErr w:type="gramEnd"/>
            <w:r w:rsidR="005C0198">
              <w:rPr>
                <w:sz w:val="22"/>
                <w:szCs w:val="22"/>
              </w:rPr>
              <w:t xml:space="preserve"> казенных на бюджетные и автономные</w:t>
            </w:r>
            <w:r w:rsidRPr="007C4F16">
              <w:rPr>
                <w:sz w:val="22"/>
                <w:szCs w:val="22"/>
              </w:rPr>
              <w:t xml:space="preserve">. По доходам, получаемым в виде арендной платы за земельные участки, </w:t>
            </w:r>
            <w:r w:rsidRPr="007C4F16">
              <w:rPr>
                <w:sz w:val="22"/>
                <w:szCs w:val="22"/>
              </w:rPr>
              <w:lastRenderedPageBreak/>
              <w:t>государственная собственность на которые не разграничена, произведен возврат переплаты на 01.01.2016 года в сумме 6 700 тысяч рублей - ошибочно перечисленный платеж в декабре 2015 года.</w:t>
            </w:r>
          </w:p>
        </w:tc>
      </w:tr>
      <w:tr w:rsidR="00CD18D1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D18D1" w:rsidRPr="00CA3BAE" w:rsidRDefault="00CD18D1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192" w:type="dxa"/>
            <w:vAlign w:val="center"/>
          </w:tcPr>
          <w:p w:rsidR="00CD18D1" w:rsidRPr="00CA3BAE" w:rsidRDefault="00CD18D1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1270" w:type="dxa"/>
            <w:vAlign w:val="center"/>
          </w:tcPr>
          <w:p w:rsidR="00CD18D1" w:rsidRPr="00CA3BAE" w:rsidRDefault="00CD18D1" w:rsidP="00C442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0" w:type="dxa"/>
            <w:vAlign w:val="center"/>
          </w:tcPr>
          <w:p w:rsidR="00CD18D1" w:rsidRPr="00CA3BAE" w:rsidRDefault="00CD18D1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0" w:type="dxa"/>
            <w:gridSpan w:val="2"/>
            <w:vAlign w:val="center"/>
          </w:tcPr>
          <w:p w:rsidR="00CD18D1" w:rsidRPr="00007899" w:rsidRDefault="008D34C2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80" w:type="dxa"/>
            <w:vAlign w:val="center"/>
          </w:tcPr>
          <w:p w:rsidR="00CD18D1" w:rsidRPr="00007899" w:rsidRDefault="008D34C2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2552" w:type="dxa"/>
            <w:vAlign w:val="center"/>
          </w:tcPr>
          <w:p w:rsidR="00E33CE9" w:rsidRPr="0051770E" w:rsidRDefault="00EB7B54" w:rsidP="00C44225">
            <w:pPr>
              <w:pStyle w:val="50"/>
              <w:shd w:val="clear" w:color="auto" w:fill="auto"/>
              <w:spacing w:before="0" w:after="0" w:line="277" w:lineRule="exact"/>
              <w:ind w:right="140" w:firstLine="0"/>
              <w:jc w:val="center"/>
              <w:rPr>
                <w:rFonts w:cs="Times New Roman"/>
                <w:sz w:val="18"/>
                <w:szCs w:val="18"/>
              </w:rPr>
            </w:pPr>
            <w:r w:rsidRPr="004517CD">
              <w:rPr>
                <w:sz w:val="24"/>
                <w:szCs w:val="24"/>
              </w:rPr>
              <w:t xml:space="preserve">Неуплата текущих платежей по налогу на доходы физических лиц, по доходам, получаемым в виде арендной платы за земельные участки, государственная собственность на которые не разграничена, </w:t>
            </w:r>
            <w:r>
              <w:rPr>
                <w:sz w:val="24"/>
                <w:szCs w:val="24"/>
              </w:rPr>
              <w:t>по налогу на имущество физических лиц, по плате за наем муниципального жилищного фонда.</w:t>
            </w: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 оценки эффективности предоставляемых налоговых льгот 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0" w:type="dxa"/>
            <w:gridSpan w:val="2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vAlign w:val="center"/>
          </w:tcPr>
          <w:p w:rsidR="00CA3BAE" w:rsidRPr="00CA3BAE" w:rsidRDefault="00B0090B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44225" w:rsidTr="00C44225">
        <w:trPr>
          <w:trHeight w:val="133"/>
          <w:tblCellSpacing w:w="5" w:type="nil"/>
        </w:trPr>
        <w:tc>
          <w:tcPr>
            <w:tcW w:w="717" w:type="dxa"/>
            <w:vAlign w:val="center"/>
          </w:tcPr>
          <w:p w:rsidR="00CA3BAE" w:rsidRPr="00C44225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4" w:type="dxa"/>
            <w:gridSpan w:val="7"/>
            <w:vAlign w:val="center"/>
          </w:tcPr>
          <w:p w:rsidR="00CA3BAE" w:rsidRPr="00C44225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Цель 2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CA3BAE" w:rsidRPr="00C44225" w:rsidTr="00C44225">
        <w:trPr>
          <w:trHeight w:val="133"/>
          <w:tblCellSpacing w:w="5" w:type="nil"/>
        </w:trPr>
        <w:tc>
          <w:tcPr>
            <w:tcW w:w="717" w:type="dxa"/>
            <w:vAlign w:val="center"/>
          </w:tcPr>
          <w:p w:rsidR="00CA3BAE" w:rsidRPr="00C44225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714" w:type="dxa"/>
            <w:gridSpan w:val="7"/>
            <w:vAlign w:val="center"/>
          </w:tcPr>
          <w:p w:rsidR="00CA3BAE" w:rsidRPr="00C44225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Задача 1 «Организация бюджетного процесса в части планирования местного бюджета»</w:t>
            </w: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Соблюдение порядка и сроков разработки проекта местного бюджета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0" w:type="dxa"/>
            <w:gridSpan w:val="2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vAlign w:val="center"/>
          </w:tcPr>
          <w:p w:rsidR="00CA3BAE" w:rsidRPr="00CA3BAE" w:rsidRDefault="00B0090B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и методики планирования бюджетных ассигнований местного бюджета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0" w:type="dxa"/>
            <w:gridSpan w:val="2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vAlign w:val="center"/>
          </w:tcPr>
          <w:p w:rsidR="00CA3BAE" w:rsidRPr="00CA3BAE" w:rsidRDefault="008F6BC6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реестра расходных обязательств местного бюджета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0" w:type="dxa"/>
            <w:gridSpan w:val="2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vAlign w:val="center"/>
          </w:tcPr>
          <w:p w:rsidR="00CA3BAE" w:rsidRPr="00CA3BAE" w:rsidRDefault="008F6BC6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местного бюджета в программной структуре   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0" w:type="dxa"/>
            <w:gridSpan w:val="2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vAlign w:val="center"/>
          </w:tcPr>
          <w:p w:rsidR="00CA3BAE" w:rsidRPr="00CA3BAE" w:rsidRDefault="008F6BC6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25" w:rsidRPr="00C44225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44225" w:rsidRPr="00C44225" w:rsidRDefault="00C4422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14" w:type="dxa"/>
            <w:gridSpan w:val="7"/>
            <w:vAlign w:val="center"/>
          </w:tcPr>
          <w:p w:rsidR="00C44225" w:rsidRPr="00C44225" w:rsidRDefault="00C4422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Задача 2 «Организация исполнения местного бюджета в рамках действующего бюджетного законодательства»</w:t>
            </w: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0" w:type="dxa"/>
            <w:gridSpan w:val="2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vAlign w:val="center"/>
          </w:tcPr>
          <w:p w:rsidR="00CA3BAE" w:rsidRPr="00CA3BAE" w:rsidRDefault="008F6BC6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iCs/>
                <w:sz w:val="24"/>
                <w:szCs w:val="24"/>
              </w:rPr>
              <w:t>2.2.2.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iCs/>
                <w:sz w:val="24"/>
                <w:szCs w:val="24"/>
              </w:rPr>
              <w:t>да/нет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860" w:type="dxa"/>
            <w:gridSpan w:val="2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980" w:type="dxa"/>
            <w:vAlign w:val="center"/>
          </w:tcPr>
          <w:p w:rsidR="00CA3BAE" w:rsidRPr="00CA3BAE" w:rsidRDefault="008F6BC6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iCs/>
                <w:sz w:val="24"/>
                <w:szCs w:val="24"/>
              </w:rPr>
              <w:t>2.2.3.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 внутреннего муниципального финансового контроля в сфере бюджетных правоотношений  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iCs/>
                <w:sz w:val="24"/>
                <w:szCs w:val="24"/>
              </w:rPr>
              <w:t>да/нет</w:t>
            </w:r>
          </w:p>
        </w:tc>
        <w:tc>
          <w:tcPr>
            <w:tcW w:w="860" w:type="dxa"/>
            <w:vAlign w:val="center"/>
          </w:tcPr>
          <w:p w:rsidR="00CA3BAE" w:rsidRPr="00CA3BAE" w:rsidRDefault="005D5C18" w:rsidP="00C44225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860" w:type="dxa"/>
            <w:gridSpan w:val="2"/>
            <w:vAlign w:val="center"/>
          </w:tcPr>
          <w:p w:rsidR="00CA3BAE" w:rsidRPr="00CA3BAE" w:rsidRDefault="00223FA0" w:rsidP="00C44225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980" w:type="dxa"/>
            <w:vAlign w:val="center"/>
          </w:tcPr>
          <w:p w:rsidR="00CA3BAE" w:rsidRPr="00CA3BAE" w:rsidRDefault="005D5C18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44225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44225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14" w:type="dxa"/>
            <w:gridSpan w:val="7"/>
            <w:vAlign w:val="center"/>
          </w:tcPr>
          <w:p w:rsidR="00CA3BAE" w:rsidRPr="00C44225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Задача 3 «Организация бюджетного процесса в части составления отчетности об исполнении местного бюджета»</w:t>
            </w: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  <w:r w:rsidRPr="00CA3BAE">
              <w:rPr>
                <w:rFonts w:ascii="Times New Roman" w:hAnsi="Times New Roman"/>
                <w:lang w:val="ru-RU"/>
              </w:rPr>
              <w:t>2.3</w:t>
            </w:r>
            <w:r w:rsidRPr="00CA3BAE">
              <w:rPr>
                <w:rFonts w:ascii="Times New Roman" w:hAnsi="Times New Roman"/>
              </w:rPr>
              <w:t>.1.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бюджета 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0" w:type="dxa"/>
            <w:gridSpan w:val="2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vAlign w:val="center"/>
          </w:tcPr>
          <w:p w:rsidR="00CA3BAE" w:rsidRPr="00CA3BAE" w:rsidRDefault="008F6BC6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25" w:rsidRPr="00C44225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44225" w:rsidRPr="00C44225" w:rsidRDefault="00C4422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714" w:type="dxa"/>
            <w:gridSpan w:val="7"/>
            <w:vAlign w:val="center"/>
          </w:tcPr>
          <w:p w:rsidR="00C44225" w:rsidRPr="00C44225" w:rsidRDefault="00C4422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 xml:space="preserve">Задача 4 «Обеспечение </w:t>
            </w:r>
            <w:proofErr w:type="gramStart"/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4422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бюджетного законодательства и законодательства в сфере закупок»</w:t>
            </w: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проверок </w:t>
            </w: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бюджетного законодательства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vAlign w:val="center"/>
          </w:tcPr>
          <w:p w:rsidR="00CA3BAE" w:rsidRPr="00CA3BAE" w:rsidRDefault="008F6BC6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проверок исполнения законодательства в сфере закупок 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vAlign w:val="center"/>
          </w:tcPr>
          <w:p w:rsidR="00CA3BAE" w:rsidRPr="00CA3BAE" w:rsidRDefault="008F6BC6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Выполнение плана проверок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1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2"/>
            <w:vAlign w:val="center"/>
          </w:tcPr>
          <w:p w:rsidR="00CA3BAE" w:rsidRPr="00CA3BAE" w:rsidRDefault="008F6BC6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Наличие порядка организации и проведения контрольных мероприятий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1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9" w:type="dxa"/>
            <w:gridSpan w:val="2"/>
            <w:vAlign w:val="center"/>
          </w:tcPr>
          <w:p w:rsidR="00CA3BAE" w:rsidRPr="00CA3BAE" w:rsidRDefault="008F6BC6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25" w:rsidRPr="00C44225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44225" w:rsidRPr="00C44225" w:rsidRDefault="00C4422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714" w:type="dxa"/>
            <w:gridSpan w:val="7"/>
            <w:vAlign w:val="center"/>
          </w:tcPr>
          <w:p w:rsidR="00C44225" w:rsidRPr="00C44225" w:rsidRDefault="00C4422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Задача 5 «Повышение эффективности управления средствами бюджета Волчанского городского округа»</w:t>
            </w: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Степень качества управления муниципальными финансами, определяемая в соответствии с постановлением Правительства Свердловской области  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степень качества управления  муниципальными финансами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60" w:type="dxa"/>
            <w:gridSpan w:val="2"/>
            <w:vAlign w:val="center"/>
          </w:tcPr>
          <w:p w:rsidR="00CA3BAE" w:rsidRPr="00573954" w:rsidRDefault="00850D54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743A5" w:rsidRPr="00573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80" w:type="dxa"/>
            <w:vAlign w:val="center"/>
          </w:tcPr>
          <w:p w:rsidR="00CA3BAE" w:rsidRPr="00573954" w:rsidRDefault="008D34C2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оценки качества управления бюджетным процессом главными распорядителями бюджетных средств</w:t>
            </w:r>
          </w:p>
        </w:tc>
        <w:tc>
          <w:tcPr>
            <w:tcW w:w="1270" w:type="dxa"/>
            <w:vAlign w:val="center"/>
          </w:tcPr>
          <w:p w:rsidR="00CA3BAE" w:rsidRPr="00CA3BAE" w:rsidRDefault="00573954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0" w:type="dxa"/>
            <w:gridSpan w:val="2"/>
            <w:vAlign w:val="center"/>
          </w:tcPr>
          <w:p w:rsidR="00CA3BAE" w:rsidRPr="00CA3BAE" w:rsidRDefault="00850D54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vAlign w:val="center"/>
          </w:tcPr>
          <w:p w:rsidR="00CA3BAE" w:rsidRPr="00CA3BAE" w:rsidRDefault="008F6BC6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44225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44225" w:rsidRDefault="00CA3BAE" w:rsidP="00C4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4" w:type="dxa"/>
            <w:gridSpan w:val="7"/>
            <w:vAlign w:val="center"/>
          </w:tcPr>
          <w:p w:rsidR="00CA3BAE" w:rsidRPr="00C44225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Цель 3 «Соблюдение ограничений по объему муниципального долга Волчанского городского округа и расходам на его обслуживание, установленных федеральным и областным законодательством, своевременное исполнение долговых обязательств»</w:t>
            </w:r>
          </w:p>
        </w:tc>
      </w:tr>
      <w:tr w:rsidR="00CA3BAE" w:rsidRPr="00C44225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44225" w:rsidRDefault="00CA3BAE" w:rsidP="00C4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14" w:type="dxa"/>
            <w:gridSpan w:val="7"/>
            <w:vAlign w:val="center"/>
          </w:tcPr>
          <w:p w:rsidR="00CA3BAE" w:rsidRPr="00C44225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Задача 1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Волчанского городского округа»</w:t>
            </w:r>
          </w:p>
        </w:tc>
      </w:tr>
      <w:tr w:rsidR="00CD18D1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D18D1" w:rsidRPr="00CA3BAE" w:rsidRDefault="00CD18D1" w:rsidP="00C4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192" w:type="dxa"/>
            <w:vAlign w:val="center"/>
          </w:tcPr>
          <w:p w:rsidR="00CD18D1" w:rsidRPr="00CA3BAE" w:rsidRDefault="00CD18D1" w:rsidP="00C4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заимствований к сумме объема дефицита местного бюджета и объема, направленного  на погашение </w:t>
            </w: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долговых обязательств</w:t>
            </w:r>
          </w:p>
        </w:tc>
        <w:tc>
          <w:tcPr>
            <w:tcW w:w="1270" w:type="dxa"/>
            <w:vAlign w:val="center"/>
          </w:tcPr>
          <w:p w:rsidR="00CD18D1" w:rsidRPr="00CA3BAE" w:rsidRDefault="00CD18D1" w:rsidP="00C4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60" w:type="dxa"/>
            <w:vAlign w:val="center"/>
          </w:tcPr>
          <w:p w:rsidR="00CD18D1" w:rsidRPr="00573954" w:rsidRDefault="00CD18D1" w:rsidP="00C4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54">
              <w:rPr>
                <w:rFonts w:ascii="Times New Roman" w:hAnsi="Times New Roman" w:cs="Times New Roman"/>
                <w:sz w:val="24"/>
                <w:szCs w:val="24"/>
              </w:rPr>
              <w:t>≤ 100</w:t>
            </w:r>
          </w:p>
        </w:tc>
        <w:tc>
          <w:tcPr>
            <w:tcW w:w="860" w:type="dxa"/>
            <w:gridSpan w:val="2"/>
            <w:vAlign w:val="center"/>
          </w:tcPr>
          <w:p w:rsidR="00CD18D1" w:rsidRPr="00573954" w:rsidRDefault="00573954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54">
              <w:rPr>
                <w:rFonts w:ascii="Times New Roman" w:hAnsi="Times New Roman" w:cs="Times New Roman"/>
                <w:sz w:val="24"/>
                <w:szCs w:val="24"/>
              </w:rPr>
              <w:t>-112</w:t>
            </w:r>
          </w:p>
        </w:tc>
        <w:tc>
          <w:tcPr>
            <w:tcW w:w="980" w:type="dxa"/>
            <w:vAlign w:val="center"/>
          </w:tcPr>
          <w:p w:rsidR="00CD18D1" w:rsidRPr="00573954" w:rsidRDefault="00573954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D18D1" w:rsidRPr="00007899" w:rsidRDefault="00CD18D1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25" w:rsidRPr="00C44225" w:rsidTr="00C44225">
        <w:trPr>
          <w:trHeight w:val="620"/>
          <w:tblCellSpacing w:w="5" w:type="nil"/>
        </w:trPr>
        <w:tc>
          <w:tcPr>
            <w:tcW w:w="717" w:type="dxa"/>
            <w:vAlign w:val="center"/>
          </w:tcPr>
          <w:p w:rsidR="00C44225" w:rsidRPr="00C44225" w:rsidRDefault="00C44225" w:rsidP="00C4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714" w:type="dxa"/>
            <w:gridSpan w:val="7"/>
            <w:vAlign w:val="center"/>
          </w:tcPr>
          <w:p w:rsidR="00C44225" w:rsidRPr="00C44225" w:rsidRDefault="00C4422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Задача 2 «</w:t>
            </w:r>
            <w:r w:rsidRPr="00C44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Учет долговых обязательств Волчанского городского округа </w:t>
            </w: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и соблюдение принятых ограничений по долговой нагрузке»</w:t>
            </w: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0" w:type="dxa"/>
            <w:gridSpan w:val="2"/>
            <w:vAlign w:val="center"/>
          </w:tcPr>
          <w:p w:rsidR="00CA3BAE" w:rsidRPr="00850D54" w:rsidRDefault="00850D54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vAlign w:val="center"/>
          </w:tcPr>
          <w:p w:rsidR="00CA3BAE" w:rsidRPr="00CA3BAE" w:rsidRDefault="008F6BC6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 долга по состоянию на 1 января года, следующего за отчетным, к общему годовому объему доходов  местного бюджета в отчетном финансовом году без учета объема безвозмездных поступлений и (или) поступлений налоговых доходов по дополнительным нормативам отчислений.</w:t>
            </w:r>
            <w:proofErr w:type="gramEnd"/>
          </w:p>
        </w:tc>
        <w:tc>
          <w:tcPr>
            <w:tcW w:w="1270" w:type="dxa"/>
            <w:vAlign w:val="center"/>
          </w:tcPr>
          <w:p w:rsidR="00CA3BAE" w:rsidRPr="00CA3BAE" w:rsidRDefault="00B10033" w:rsidP="00C4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3BAE" w:rsidRPr="00CA3BAE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860" w:type="dxa"/>
            <w:vAlign w:val="center"/>
          </w:tcPr>
          <w:p w:rsidR="00CA3BAE" w:rsidRPr="00573954" w:rsidRDefault="00CA3BAE" w:rsidP="00C4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="009743A5" w:rsidRPr="005739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vAlign w:val="center"/>
          </w:tcPr>
          <w:p w:rsidR="00CA3BAE" w:rsidRPr="00573954" w:rsidRDefault="00EB7B54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vAlign w:val="center"/>
          </w:tcPr>
          <w:p w:rsidR="00CA3BAE" w:rsidRPr="00573954" w:rsidRDefault="00EB7B54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25" w:rsidRPr="00C44225" w:rsidTr="00C44225">
        <w:trPr>
          <w:trHeight w:val="495"/>
          <w:tblCellSpacing w:w="5" w:type="nil"/>
        </w:trPr>
        <w:tc>
          <w:tcPr>
            <w:tcW w:w="717" w:type="dxa"/>
            <w:vAlign w:val="center"/>
          </w:tcPr>
          <w:p w:rsidR="00C44225" w:rsidRPr="00C44225" w:rsidRDefault="00C44225" w:rsidP="00C4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14" w:type="dxa"/>
            <w:gridSpan w:val="7"/>
            <w:vAlign w:val="center"/>
          </w:tcPr>
          <w:p w:rsidR="00C44225" w:rsidRPr="00C44225" w:rsidRDefault="00C44225" w:rsidP="00C4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Задача 3 «</w:t>
            </w:r>
            <w:r w:rsidRPr="00C44225">
              <w:rPr>
                <w:rFonts w:ascii="Times New Roman" w:hAnsi="Times New Roman" w:cs="Times New Roman"/>
                <w:iCs/>
                <w:sz w:val="24"/>
                <w:szCs w:val="24"/>
              </w:rPr>
              <w:t>Минимизация расходов на обслуживание долговых обязательств Волчанского городского округа</w:t>
            </w: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</w:t>
            </w: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</w:t>
            </w:r>
          </w:p>
        </w:tc>
        <w:tc>
          <w:tcPr>
            <w:tcW w:w="860" w:type="dxa"/>
            <w:gridSpan w:val="2"/>
            <w:vAlign w:val="center"/>
          </w:tcPr>
          <w:p w:rsidR="00CA3BAE" w:rsidRPr="00CA3BAE" w:rsidRDefault="005D5C18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</w:t>
            </w:r>
          </w:p>
        </w:tc>
        <w:tc>
          <w:tcPr>
            <w:tcW w:w="980" w:type="dxa"/>
            <w:vAlign w:val="center"/>
          </w:tcPr>
          <w:p w:rsidR="00CA3BAE" w:rsidRPr="00CA3BAE" w:rsidRDefault="00CD18D1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2192" w:type="dxa"/>
            <w:vAlign w:val="center"/>
          </w:tcPr>
          <w:p w:rsidR="00CA3BAE" w:rsidRPr="00971C5B" w:rsidRDefault="00CA3BAE" w:rsidP="00C4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5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B0090B" w:rsidRPr="00971C5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71C5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контрактов, связанных с исполнением программы муниципальных внутренних заимствований по итогам проведения отборов исполнителей на оказание услуг</w:t>
            </w:r>
          </w:p>
        </w:tc>
        <w:tc>
          <w:tcPr>
            <w:tcW w:w="1270" w:type="dxa"/>
            <w:vAlign w:val="center"/>
          </w:tcPr>
          <w:p w:rsidR="00CA3BAE" w:rsidRPr="00971C5B" w:rsidRDefault="00CA3BAE" w:rsidP="00C4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5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  <w:vAlign w:val="center"/>
          </w:tcPr>
          <w:p w:rsidR="00CA3BAE" w:rsidRPr="00971C5B" w:rsidRDefault="00CA3BAE" w:rsidP="00C4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5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0" w:type="dxa"/>
            <w:gridSpan w:val="2"/>
            <w:vAlign w:val="center"/>
          </w:tcPr>
          <w:p w:rsidR="00CA3BAE" w:rsidRPr="00971C5B" w:rsidRDefault="005F193B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vAlign w:val="center"/>
          </w:tcPr>
          <w:p w:rsidR="00CA3BAE" w:rsidRPr="00971C5B" w:rsidRDefault="00D17E9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CA3BAE" w:rsidRPr="00971C5B" w:rsidRDefault="00F9325C" w:rsidP="00C442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5B">
              <w:rPr>
                <w:rFonts w:ascii="Times New Roman" w:hAnsi="Times New Roman" w:cs="Times New Roman"/>
                <w:sz w:val="24"/>
                <w:szCs w:val="24"/>
              </w:rPr>
              <w:t>В соответствии программой муниципальных заимствований на 201</w:t>
            </w:r>
            <w:r w:rsidR="00971C5B" w:rsidRPr="00971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C5B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утвержденной Решением Волчанской городской Думы от 2</w:t>
            </w:r>
            <w:r w:rsidR="00971C5B" w:rsidRPr="00971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C5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71C5B" w:rsidRPr="00971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1C5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971C5B" w:rsidRPr="00971C5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971C5B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Волча</w:t>
            </w:r>
            <w:r w:rsidR="00971C5B" w:rsidRPr="00971C5B">
              <w:rPr>
                <w:rFonts w:ascii="Times New Roman" w:hAnsi="Times New Roman" w:cs="Times New Roman"/>
                <w:sz w:val="24"/>
                <w:szCs w:val="24"/>
              </w:rPr>
              <w:t>нского городского округа на 2016</w:t>
            </w:r>
            <w:r w:rsidRPr="00971C5B">
              <w:rPr>
                <w:rFonts w:ascii="Times New Roman" w:hAnsi="Times New Roman" w:cs="Times New Roman"/>
                <w:sz w:val="24"/>
                <w:szCs w:val="24"/>
              </w:rPr>
              <w:t>» муниципальные внутренние заимствования предусмотрены за счет кредитов, привлекаемых от других бюджетной системы Российской Федерации. В связи с чем, в 201</w:t>
            </w:r>
            <w:r w:rsidR="00971C5B" w:rsidRPr="00971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C5B">
              <w:rPr>
                <w:rFonts w:ascii="Times New Roman" w:hAnsi="Times New Roman" w:cs="Times New Roman"/>
                <w:sz w:val="24"/>
                <w:szCs w:val="24"/>
              </w:rPr>
              <w:t xml:space="preserve"> году отбор кредитных организаций  на получение кредита не проводился.</w:t>
            </w:r>
          </w:p>
        </w:tc>
      </w:tr>
      <w:tr w:rsidR="00C44225" w:rsidRPr="00C44225" w:rsidTr="00C44225">
        <w:trPr>
          <w:trHeight w:val="615"/>
          <w:tblCellSpacing w:w="5" w:type="nil"/>
        </w:trPr>
        <w:tc>
          <w:tcPr>
            <w:tcW w:w="717" w:type="dxa"/>
            <w:vAlign w:val="center"/>
          </w:tcPr>
          <w:p w:rsidR="00C44225" w:rsidRPr="00C44225" w:rsidRDefault="00C44225" w:rsidP="00C4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14" w:type="dxa"/>
            <w:gridSpan w:val="7"/>
            <w:vAlign w:val="center"/>
          </w:tcPr>
          <w:p w:rsidR="00C44225" w:rsidRPr="00C44225" w:rsidRDefault="00C4422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Цель 4 «Применение информационных технологий в сфере управления муниципальными финансами Волчанского городского округа»</w:t>
            </w:r>
          </w:p>
        </w:tc>
      </w:tr>
      <w:tr w:rsidR="00C44225" w:rsidRPr="00C44225" w:rsidTr="00C44225">
        <w:trPr>
          <w:trHeight w:val="370"/>
          <w:tblCellSpacing w:w="5" w:type="nil"/>
        </w:trPr>
        <w:tc>
          <w:tcPr>
            <w:tcW w:w="717" w:type="dxa"/>
            <w:vAlign w:val="center"/>
          </w:tcPr>
          <w:p w:rsidR="00C44225" w:rsidRPr="00C44225" w:rsidRDefault="00C44225" w:rsidP="00C4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14" w:type="dxa"/>
            <w:gridSpan w:val="7"/>
            <w:vAlign w:val="center"/>
          </w:tcPr>
          <w:p w:rsidR="00C44225" w:rsidRPr="00C44225" w:rsidRDefault="00C4422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Задача «Внедрение программных продуктов для автоматизации бюджетного процесса, развитие и модернизация информационных технологий управления финансами»</w:t>
            </w:r>
          </w:p>
        </w:tc>
      </w:tr>
      <w:tr w:rsidR="00CA3BAE" w:rsidRPr="00CA3BAE" w:rsidTr="00C44225">
        <w:trPr>
          <w:trHeight w:val="133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Доля участников и не участников бюджетного процесса задействованных в автоматизированном бюджетном процессе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0" w:type="dxa"/>
            <w:vAlign w:val="center"/>
          </w:tcPr>
          <w:p w:rsidR="00CA3BAE" w:rsidRPr="005D5C18" w:rsidRDefault="005D5C18" w:rsidP="00C4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CA3BAE" w:rsidRPr="00CA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gridSpan w:val="2"/>
            <w:vAlign w:val="center"/>
          </w:tcPr>
          <w:p w:rsidR="00CA3BAE" w:rsidRPr="00CA3BAE" w:rsidRDefault="005D5C18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CA3BAE" w:rsidRPr="00CA3BAE" w:rsidRDefault="005D5C18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C44225">
        <w:trPr>
          <w:trHeight w:val="133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аппаратно-технических средств и телекоммуникационной инфраструктуры, задействованных в</w:t>
            </w:r>
            <w:r w:rsidR="00F72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процессе управления финансами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0" w:type="dxa"/>
            <w:gridSpan w:val="2"/>
            <w:vAlign w:val="center"/>
          </w:tcPr>
          <w:p w:rsidR="00CA3BAE" w:rsidRPr="00CA3BAE" w:rsidRDefault="0087099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vAlign w:val="center"/>
          </w:tcPr>
          <w:p w:rsidR="00CA3BAE" w:rsidRPr="00CA3BAE" w:rsidRDefault="00B0090B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25" w:rsidRPr="00CA3BAE" w:rsidTr="00C44225">
        <w:trPr>
          <w:trHeight w:val="133"/>
          <w:tblCellSpacing w:w="5" w:type="nil"/>
        </w:trPr>
        <w:tc>
          <w:tcPr>
            <w:tcW w:w="717" w:type="dxa"/>
            <w:vAlign w:val="center"/>
          </w:tcPr>
          <w:p w:rsidR="00C44225" w:rsidRPr="00CA3BAE" w:rsidRDefault="00C4422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14" w:type="dxa"/>
            <w:gridSpan w:val="7"/>
            <w:vAlign w:val="center"/>
          </w:tcPr>
          <w:p w:rsidR="00C44225" w:rsidRPr="00C44225" w:rsidRDefault="00C4422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 xml:space="preserve">Цель 5 «Обеспечение условий для реализации мероприятий муниципальной </w:t>
            </w:r>
            <w:r w:rsidRPr="00C44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 в соответствии с установленными  сроками и задачами»</w:t>
            </w:r>
          </w:p>
        </w:tc>
      </w:tr>
      <w:tr w:rsidR="00C44225" w:rsidRPr="00CA3BAE" w:rsidTr="00C44225">
        <w:trPr>
          <w:trHeight w:val="133"/>
          <w:tblCellSpacing w:w="5" w:type="nil"/>
        </w:trPr>
        <w:tc>
          <w:tcPr>
            <w:tcW w:w="717" w:type="dxa"/>
            <w:vAlign w:val="center"/>
          </w:tcPr>
          <w:p w:rsidR="00C44225" w:rsidRPr="00CA3BAE" w:rsidRDefault="00C4422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8714" w:type="dxa"/>
            <w:gridSpan w:val="7"/>
            <w:vAlign w:val="center"/>
          </w:tcPr>
          <w:p w:rsidR="00C44225" w:rsidRPr="00C44225" w:rsidRDefault="00C4422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Задача «Обеспечение эффективной деятельности Финансового отдела администрации Волчанского городского округа по реализации муниципальной программы Волчанского городского округа «Управление муниципальными финансами Волчанского городского округа на 2014-2020 годы»</w:t>
            </w:r>
          </w:p>
        </w:tc>
      </w:tr>
      <w:tr w:rsidR="00CA3BAE" w:rsidRPr="00CA3BAE" w:rsidTr="00C44225">
        <w:trPr>
          <w:trHeight w:val="133"/>
          <w:tblCellSpacing w:w="5" w:type="nil"/>
        </w:trPr>
        <w:tc>
          <w:tcPr>
            <w:tcW w:w="717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192" w:type="dxa"/>
            <w:vAlign w:val="center"/>
          </w:tcPr>
          <w:p w:rsidR="00CA3BAE" w:rsidRPr="00CA3BAE" w:rsidRDefault="00CA3BAE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27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0" w:type="dxa"/>
            <w:vAlign w:val="center"/>
          </w:tcPr>
          <w:p w:rsidR="00CA3BAE" w:rsidRPr="00CA3BAE" w:rsidRDefault="00CA3BAE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vAlign w:val="center"/>
          </w:tcPr>
          <w:p w:rsidR="00CA3BAE" w:rsidRPr="00CA3BAE" w:rsidRDefault="00C64FC8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80" w:type="dxa"/>
            <w:vAlign w:val="center"/>
          </w:tcPr>
          <w:p w:rsidR="00CA3BAE" w:rsidRPr="00CA3BAE" w:rsidRDefault="00C64FC8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2552" w:type="dxa"/>
            <w:vAlign w:val="center"/>
          </w:tcPr>
          <w:p w:rsidR="00CA3BAE" w:rsidRPr="00CA3BAE" w:rsidRDefault="00DA2DF4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>Средняя результативность (недовыполнение плана)</w:t>
            </w:r>
          </w:p>
        </w:tc>
      </w:tr>
    </w:tbl>
    <w:p w:rsidR="00B0090B" w:rsidRDefault="00B0090B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B2C" w:rsidRDefault="00B94B2C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2C" w:rsidRDefault="00B94B2C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2C" w:rsidRDefault="00B94B2C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35" w:rsidRDefault="008D6CBC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администрации Волчанского городского округа                                                </w:t>
      </w:r>
      <w:r w:rsidR="00C4422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Симонова Т.В.</w:t>
      </w:r>
      <w:r w:rsidR="00C4422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728C3" w:rsidRDefault="00F728C3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A3F" w:rsidRDefault="008D2A3F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A3F" w:rsidRDefault="008D2A3F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A3F" w:rsidRDefault="008D2A3F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A3F" w:rsidRDefault="008D2A3F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A3F" w:rsidRDefault="008D2A3F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25" w:rsidRDefault="00C44225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663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МЕРОПРИЯТИЙ </w:t>
      </w:r>
    </w:p>
    <w:p w:rsidR="00EA7D35" w:rsidRPr="008D6CBC" w:rsidRDefault="00EA7D3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CB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D6CBC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</w:t>
      </w:r>
    </w:p>
    <w:p w:rsidR="0087099C" w:rsidRPr="008D6CBC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CBC">
        <w:rPr>
          <w:rFonts w:ascii="Times New Roman" w:hAnsi="Times New Roman" w:cs="Times New Roman"/>
          <w:sz w:val="24"/>
          <w:szCs w:val="24"/>
        </w:rPr>
        <w:t>«УПРАВЛЕНИЕ МУНИЦИПАЛЬНЫМИ ФИНАНСАМИ</w:t>
      </w:r>
    </w:p>
    <w:p w:rsidR="0087099C" w:rsidRPr="008D6CBC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CBC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ОКРУГА» НА 2014-2020 ГОДЫ</w:t>
      </w:r>
    </w:p>
    <w:p w:rsidR="00EA7D35" w:rsidRPr="008D6CBC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CBC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6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D6CBC">
        <w:rPr>
          <w:rFonts w:ascii="Times New Roman" w:hAnsi="Times New Roman" w:cs="Times New Roman"/>
          <w:sz w:val="24"/>
          <w:szCs w:val="24"/>
        </w:rPr>
        <w:t>.</w:t>
      </w:r>
    </w:p>
    <w:p w:rsidR="00EA7D35" w:rsidRPr="00BE210F" w:rsidRDefault="00EA7D35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3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7"/>
        <w:gridCol w:w="2410"/>
        <w:gridCol w:w="851"/>
        <w:gridCol w:w="1258"/>
        <w:gridCol w:w="1337"/>
        <w:gridCol w:w="992"/>
        <w:gridCol w:w="2338"/>
      </w:tblGrid>
      <w:tr w:rsidR="00EA7D35" w:rsidRPr="00BE210F" w:rsidTr="00C44225">
        <w:trPr>
          <w:trHeight w:val="1200"/>
          <w:tblCellSpacing w:w="5" w:type="nil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7099C" w:rsidRDefault="00EA7D35" w:rsidP="00870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12600D" w:rsidRDefault="0012600D" w:rsidP="00870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D35" w:rsidRPr="0087099C" w:rsidRDefault="00EA7D35" w:rsidP="00C4422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C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87099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8709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7099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 w:rsidRPr="008709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тыс. рублей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7099C" w:rsidRDefault="00EA7D35" w:rsidP="00870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C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8709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87099C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8709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EA7D35" w:rsidRPr="00BE210F" w:rsidTr="00C44225">
        <w:trPr>
          <w:trHeight w:val="400"/>
          <w:tblCellSpacing w:w="5" w:type="nil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7099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7099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7099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7099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7099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7099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C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87099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7099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35" w:rsidRPr="00C44225" w:rsidTr="00C44225">
        <w:trPr>
          <w:trHeight w:val="800"/>
          <w:tblCellSpacing w:w="5" w:type="nil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C44225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C44225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C442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C442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 w:rsidRPr="00C442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C44225" w:rsidRDefault="0087099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55AC" w:rsidRPr="00C44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C44225" w:rsidRDefault="00EF55A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4 410,0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C44225" w:rsidRDefault="00EF55A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4 393,4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C44225" w:rsidRDefault="00EF55A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2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C44225" w:rsidRDefault="00EA7D35" w:rsidP="003312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35" w:rsidRPr="008D6CBC" w:rsidTr="00C44225">
        <w:trPr>
          <w:trHeight w:val="267"/>
          <w:tblCellSpacing w:w="5" w:type="nil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35" w:rsidRPr="008D6CBC" w:rsidTr="00C44225">
        <w:trPr>
          <w:trHeight w:val="267"/>
          <w:tblCellSpacing w:w="5" w:type="nil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A9" w:rsidRPr="008D6CBC" w:rsidTr="00C44225">
        <w:trPr>
          <w:trHeight w:val="267"/>
          <w:tblCellSpacing w:w="5" w:type="nil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A9" w:rsidRPr="008D6CBC" w:rsidRDefault="00CE24A9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A9" w:rsidRPr="00CE24A9" w:rsidRDefault="00EF55A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4 410,0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A9" w:rsidRPr="00CE24A9" w:rsidRDefault="00EF55A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A9" w:rsidRPr="00CE24A9" w:rsidRDefault="00EF55A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35" w:rsidRPr="008D6CBC" w:rsidTr="00C44225">
        <w:trPr>
          <w:trHeight w:val="267"/>
          <w:tblCellSpacing w:w="5" w:type="nil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35" w:rsidRPr="008D6CBC" w:rsidTr="00C44225">
        <w:trPr>
          <w:tblCellSpacing w:w="5" w:type="nil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87099C" w:rsidP="0087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15. </w:t>
            </w: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по обслуживанию муниципального долга Волчанского городского округа в соответствии с программой муниципальных заимствований Волчанского городского округа и заключенными контрактами (соглашениями)**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EF55AC" w:rsidRDefault="00EF55A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AC">
              <w:rPr>
                <w:rFonts w:ascii="Times New Roman" w:hAnsi="Times New Roman" w:cs="Times New Roman"/>
                <w:sz w:val="24"/>
                <w:szCs w:val="24"/>
              </w:rPr>
              <w:t>792,6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EF55AC" w:rsidRDefault="00EF55A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AC">
              <w:rPr>
                <w:rFonts w:ascii="Times New Roman" w:hAnsi="Times New Roman" w:cs="Times New Roman"/>
                <w:sz w:val="24"/>
                <w:szCs w:val="24"/>
              </w:rPr>
              <w:t>792,6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EF55AC" w:rsidRDefault="00EF55A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1D5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35" w:rsidRPr="008D6CBC" w:rsidTr="00C44225">
        <w:trPr>
          <w:tblCellSpacing w:w="5" w:type="nil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B10033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7D35" w:rsidRPr="008D6CBC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35" w:rsidRPr="008D6CBC" w:rsidTr="00C44225">
        <w:trPr>
          <w:tblCellSpacing w:w="5" w:type="nil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D6CBC" w:rsidRDefault="00EA7D35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A9" w:rsidRPr="008D6CBC" w:rsidTr="00C44225">
        <w:trPr>
          <w:tblCellSpacing w:w="5" w:type="nil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A9" w:rsidRPr="008D6CBC" w:rsidRDefault="00CE24A9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A9" w:rsidRPr="00CE24A9" w:rsidRDefault="00CE24A9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A9" w:rsidRPr="00CE24A9" w:rsidRDefault="00CE24A9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A9" w:rsidRPr="00CE24A9" w:rsidRDefault="00CE24A9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BC" w:rsidRPr="008D6CBC" w:rsidTr="00C44225">
        <w:trPr>
          <w:tblCellSpacing w:w="5" w:type="nil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BC" w:rsidRPr="008D6CBC" w:rsidTr="00C44225">
        <w:trPr>
          <w:tblCellSpacing w:w="5" w:type="nil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18.</w:t>
            </w:r>
          </w:p>
          <w:p w:rsidR="008D6CBC" w:rsidRPr="008D6CBC" w:rsidRDefault="008D6CBC" w:rsidP="0087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</w:t>
            </w:r>
            <w:r w:rsidRPr="008D6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коммуникационной инфраструктуры в сфере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Pr="008D6CBC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Default="00EF55A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129,1</w:t>
            </w: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Pr="00EF55AC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Default="00EF55A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129,1</w:t>
            </w: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Pr="00EF55AC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3F" w:rsidRDefault="008D2A3F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Pr="008D2A3F" w:rsidRDefault="008D2A3F" w:rsidP="00C44225">
            <w:pPr>
              <w:jc w:val="center"/>
            </w:pPr>
          </w:p>
          <w:p w:rsidR="008D2A3F" w:rsidRPr="008D2A3F" w:rsidRDefault="008D2A3F" w:rsidP="00C44225">
            <w:pPr>
              <w:jc w:val="center"/>
            </w:pPr>
          </w:p>
          <w:p w:rsidR="008D6CBC" w:rsidRDefault="008D6CBC" w:rsidP="00C44225">
            <w:pPr>
              <w:jc w:val="center"/>
            </w:pPr>
          </w:p>
          <w:p w:rsidR="008D2A3F" w:rsidRDefault="008D2A3F" w:rsidP="00C44225">
            <w:pPr>
              <w:jc w:val="center"/>
            </w:pPr>
          </w:p>
          <w:p w:rsidR="008D2A3F" w:rsidRPr="008D2A3F" w:rsidRDefault="008D2A3F" w:rsidP="00C44225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Default="008D2A3F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F" w:rsidRPr="008D6CBC" w:rsidRDefault="008D2A3F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BC" w:rsidRPr="008D6CBC" w:rsidTr="00C44225">
        <w:trPr>
          <w:tblCellSpacing w:w="5" w:type="nil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EF55A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EF55A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EF55A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BC" w:rsidRPr="008D6CBC" w:rsidTr="00C44225">
        <w:trPr>
          <w:tblCellSpacing w:w="5" w:type="nil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EF55A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EF55A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EF55A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A9" w:rsidRPr="008D6CBC" w:rsidTr="00C44225">
        <w:trPr>
          <w:tblCellSpacing w:w="5" w:type="nil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A9" w:rsidRPr="008D6CBC" w:rsidRDefault="00CE24A9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A9" w:rsidRPr="00EF55AC" w:rsidRDefault="00CE24A9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A9" w:rsidRPr="00EF55AC" w:rsidRDefault="00CE24A9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A9" w:rsidRPr="00EF55AC" w:rsidRDefault="00CE24A9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BC" w:rsidRPr="008D6CBC" w:rsidTr="00C44225">
        <w:trPr>
          <w:tblCellSpacing w:w="5" w:type="nil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EF55A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EF55A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EF55A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BC" w:rsidRPr="008D6CBC" w:rsidTr="00C44225">
        <w:trPr>
          <w:tblCellSpacing w:w="5" w:type="nil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19. </w:t>
            </w:r>
          </w:p>
          <w:p w:rsidR="008D6CBC" w:rsidRPr="008D6CBC" w:rsidRDefault="008D6CBC" w:rsidP="00870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EF55AC" w:rsidRDefault="00EF55A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AC">
              <w:rPr>
                <w:rFonts w:ascii="Times New Roman" w:hAnsi="Times New Roman" w:cs="Times New Roman"/>
                <w:sz w:val="24"/>
                <w:szCs w:val="24"/>
              </w:rPr>
              <w:t>3 488,3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EF55AC" w:rsidRDefault="00EF55A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AC">
              <w:rPr>
                <w:rFonts w:ascii="Times New Roman" w:hAnsi="Times New Roman" w:cs="Times New Roman"/>
                <w:sz w:val="24"/>
                <w:szCs w:val="24"/>
              </w:rPr>
              <w:t>3 471,7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EF55AC" w:rsidRDefault="00EF55A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A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BC" w:rsidRPr="008D6CBC" w:rsidTr="00C44225">
        <w:trPr>
          <w:tblCellSpacing w:w="5" w:type="nil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BC" w:rsidRPr="008D6CBC" w:rsidTr="00C44225">
        <w:trPr>
          <w:tblCellSpacing w:w="5" w:type="nil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F9" w:rsidRPr="008D6CBC" w:rsidTr="00C44225">
        <w:trPr>
          <w:tblCellSpacing w:w="5" w:type="nil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9" w:rsidRPr="008D6CBC" w:rsidRDefault="001045F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9" w:rsidRPr="008D6CBC" w:rsidRDefault="001045F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9" w:rsidRPr="008D6CBC" w:rsidRDefault="001045F9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9" w:rsidRPr="001045F9" w:rsidRDefault="001045F9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9" w:rsidRPr="001045F9" w:rsidRDefault="001045F9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9" w:rsidRPr="001045F9" w:rsidRDefault="001045F9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9" w:rsidRPr="008D6CBC" w:rsidRDefault="001045F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BC" w:rsidRPr="008D6CBC" w:rsidTr="00C44225">
        <w:trPr>
          <w:tblCellSpacing w:w="5" w:type="nil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C" w:rsidRPr="008D6CBC" w:rsidRDefault="008D6CBC" w:rsidP="00C44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90B" w:rsidRDefault="00B0090B" w:rsidP="00870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870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870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870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225" w:rsidRPr="008D6CBC" w:rsidRDefault="00C44225" w:rsidP="00870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 администрации Волчанского городского округа                                                         Симонова Т.В. ______________________________</w:t>
      </w: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225" w:rsidRDefault="00C44225" w:rsidP="00126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00D" w:rsidRDefault="0012600D" w:rsidP="001260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12600D" w:rsidRPr="0012600D" w:rsidTr="00C4422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12600D" w:rsidP="00C44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12600D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</w:t>
            </w:r>
          </w:p>
        </w:tc>
      </w:tr>
      <w:tr w:rsidR="00CD18D1" w:rsidRPr="0012600D" w:rsidTr="00C44225">
        <w:trPr>
          <w:trHeight w:val="3027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1" w:rsidRPr="0012600D" w:rsidRDefault="00CD18D1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 </w:t>
            </w:r>
          </w:p>
          <w:p w:rsidR="00CD18D1" w:rsidRPr="0012600D" w:rsidRDefault="00CD18D1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 с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городского округа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1" w:rsidRPr="00801BF2" w:rsidRDefault="00CD18D1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F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Межведомственной комиссии по вопросам укрепления финансовой </w:t>
            </w:r>
            <w:r w:rsidR="0080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1BF2">
              <w:rPr>
                <w:rFonts w:ascii="Times New Roman" w:hAnsi="Times New Roman" w:cs="Times New Roman"/>
                <w:sz w:val="24"/>
                <w:szCs w:val="24"/>
              </w:rPr>
              <w:t>амостоятельности бюджета Волчанского городского округа</w:t>
            </w:r>
            <w:r w:rsidR="00691D7F" w:rsidRPr="0080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BF2" w:rsidRPr="00801B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Pr="00801BF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80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1BF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</w:t>
            </w:r>
          </w:p>
          <w:p w:rsidR="00CD18D1" w:rsidRPr="000F7CDA" w:rsidRDefault="00CD18D1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BF2">
              <w:rPr>
                <w:rFonts w:ascii="Times New Roman" w:hAnsi="Times New Roman" w:cs="Times New Roman"/>
                <w:sz w:val="24"/>
                <w:szCs w:val="24"/>
              </w:rPr>
              <w:t>Инспекцией ФНС России № 14</w:t>
            </w:r>
            <w:r w:rsidR="0080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F2">
              <w:rPr>
                <w:rFonts w:ascii="Times New Roman" w:hAnsi="Times New Roman"/>
                <w:sz w:val="24"/>
                <w:szCs w:val="24"/>
              </w:rPr>
              <w:t>по Свердловской области, Управлением Пенсионного фонда Российской Федерации в городе Карпинске и городе Волчанске Свердловской области, ГКУ «Карпинский центр занятости», Комитетом по управлению имуществом Волчанского городского округа, администрацией Волчанского городского округа</w:t>
            </w:r>
          </w:p>
        </w:tc>
      </w:tr>
      <w:tr w:rsidR="00CD18D1" w:rsidRPr="0012600D" w:rsidTr="00C4422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1" w:rsidRPr="0012600D" w:rsidRDefault="00CD18D1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CD18D1" w:rsidRPr="0012600D" w:rsidRDefault="00CD18D1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межведомственной комиссии по укреплению финансовой устойчивости бюджета Волчанского городского округа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1" w:rsidRPr="000F7CDA" w:rsidRDefault="00602B4D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 п</w:t>
            </w:r>
            <w:r w:rsidR="00801BF2" w:rsidRPr="00801BF2">
              <w:rPr>
                <w:rFonts w:ascii="Times New Roman" w:hAnsi="Times New Roman" w:cs="Times New Roman"/>
                <w:sz w:val="24"/>
                <w:szCs w:val="24"/>
              </w:rPr>
              <w:t xml:space="preserve">роведено 4 заседания межведомственной комиссии по вопросам укрепления финансовой самостоятельности бюджета, </w:t>
            </w:r>
            <w:r w:rsidR="002F10A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заседание комиссии приглашено 28 </w:t>
            </w:r>
            <w:r w:rsidR="00801BF2" w:rsidRPr="00801BF2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</w:t>
            </w:r>
            <w:r w:rsidR="002F10A2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801BF2" w:rsidRPr="00801BF2">
              <w:rPr>
                <w:rFonts w:ascii="Times New Roman" w:hAnsi="Times New Roman" w:cs="Times New Roman"/>
                <w:sz w:val="24"/>
                <w:szCs w:val="24"/>
              </w:rPr>
              <w:t xml:space="preserve">них по вопросу снижения недоимки - 21, по вопросу убыточности - 1; по вопросу легализации заработной платы - 6. Рассмотрено  налогоплательщиков - 15, из них по вопросу снижения недоимки - 10, по вопросу легализации заработной платы - 5.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проведенной комиссии п</w:t>
            </w:r>
            <w:r w:rsidR="00801BF2" w:rsidRPr="00801BF2">
              <w:rPr>
                <w:rFonts w:ascii="Times New Roman" w:hAnsi="Times New Roman" w:cs="Times New Roman"/>
                <w:sz w:val="24"/>
                <w:szCs w:val="24"/>
              </w:rPr>
              <w:t>огашена задолженность по налоговым и неналоговым доходам в консолидированный бюджет в сумме 2 555 тысяч рублей.</w:t>
            </w:r>
          </w:p>
        </w:tc>
      </w:tr>
      <w:tr w:rsidR="00CD18D1" w:rsidRPr="0012600D" w:rsidTr="00C4422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D1" w:rsidRPr="0012600D" w:rsidRDefault="00CD18D1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3. </w:t>
            </w:r>
          </w:p>
          <w:p w:rsidR="00CD18D1" w:rsidRPr="0012600D" w:rsidRDefault="00CD18D1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оценки эффективности предоставляемых налоговых льгот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F2" w:rsidRPr="00801BF2" w:rsidRDefault="00602B4D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п</w:t>
            </w:r>
            <w:r w:rsidR="00801BF2" w:rsidRPr="00801BF2">
              <w:rPr>
                <w:rFonts w:ascii="Times New Roman" w:hAnsi="Times New Roman" w:cs="Times New Roman"/>
                <w:sz w:val="24"/>
                <w:szCs w:val="24"/>
              </w:rPr>
              <w:t xml:space="preserve">роведен анализ использования и эффективности применения налоговых льгот за 2015 год. </w:t>
            </w:r>
            <w:proofErr w:type="gramStart"/>
            <w:r w:rsidR="00801BF2" w:rsidRPr="00801BF2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Волчанской городской Думы от 22.09.2011 года № 112 «Об установлении на территории Волчанского городского земельного налога» (в редакции Решений Волчанской городской Думы от 21.06.2012 года № 119, от 25.10.2012 года № 174, от 21.03.2013 года № 24, от 30.10.2013 года № 108, от 22.11.2014 года № 95, от 29.10.2015 года № 80) в 2015 году предоставлялись льготы по земельному налогу следующим категориям налогоплательщиков</w:t>
            </w:r>
            <w:proofErr w:type="gramEnd"/>
            <w:r w:rsidR="00801BF2" w:rsidRPr="00801BF2">
              <w:rPr>
                <w:rFonts w:ascii="Times New Roman" w:hAnsi="Times New Roman" w:cs="Times New Roman"/>
                <w:sz w:val="24"/>
                <w:szCs w:val="24"/>
              </w:rPr>
              <w:t xml:space="preserve"> в виде полного освобождения от уплаты земельного налога:</w:t>
            </w:r>
          </w:p>
          <w:p w:rsidR="00801BF2" w:rsidRPr="00801BF2" w:rsidRDefault="00801BF2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F2">
              <w:rPr>
                <w:rFonts w:ascii="Times New Roman" w:hAnsi="Times New Roman" w:cs="Times New Roman"/>
                <w:sz w:val="24"/>
                <w:szCs w:val="24"/>
              </w:rPr>
              <w:t xml:space="preserve">      - пенсионеры, получающие пенсии, назначаемые в порядке, установленном пенсионным законодательством Российской Федерации;</w:t>
            </w:r>
          </w:p>
          <w:p w:rsidR="00801BF2" w:rsidRPr="00801BF2" w:rsidRDefault="00801BF2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F2">
              <w:rPr>
                <w:rFonts w:ascii="Times New Roman" w:hAnsi="Times New Roman" w:cs="Times New Roman"/>
                <w:sz w:val="24"/>
                <w:szCs w:val="24"/>
              </w:rPr>
              <w:t xml:space="preserve">      - ветераны и инвалиды Великой Отечественной войны;</w:t>
            </w:r>
          </w:p>
          <w:p w:rsidR="00801BF2" w:rsidRPr="00801BF2" w:rsidRDefault="00801BF2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F2">
              <w:rPr>
                <w:rFonts w:ascii="Times New Roman" w:hAnsi="Times New Roman" w:cs="Times New Roman"/>
                <w:sz w:val="24"/>
                <w:szCs w:val="24"/>
              </w:rPr>
              <w:t xml:space="preserve">      - сумма исчисленного налога уменьшается на 100%, но не более чем на 500 рублей, в отношении одного земельного участка, налогоплательщиком которого является добровольный пожарный, внесенный в сводный реестр добровольных пожарных Свердловской области, утвержденный Главным управлением МЧС России по Свердловской области.</w:t>
            </w:r>
          </w:p>
          <w:p w:rsidR="00CD18D1" w:rsidRPr="00007899" w:rsidRDefault="00801BF2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F2">
              <w:rPr>
                <w:rFonts w:ascii="Times New Roman" w:hAnsi="Times New Roman" w:cs="Times New Roman"/>
                <w:sz w:val="24"/>
                <w:szCs w:val="24"/>
              </w:rPr>
              <w:t xml:space="preserve">Сумма выпадающих доходов в связи с </w:t>
            </w:r>
            <w:r w:rsidRPr="00801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льгот физическим лицам за 2015 год составила 385 тысяч рублей, что составляет 10,9 % от суммы поступившего за 2015 год земельного налога. По результатам проведенной оценки эффективности и обоснованности налоговых льгот предлагается действующие налоговые  льготы  в виде полного или частичного освобождения по земельному налогу сохранить.</w:t>
            </w:r>
          </w:p>
        </w:tc>
      </w:tr>
      <w:tr w:rsidR="0012600D" w:rsidRPr="0012600D" w:rsidTr="00C4422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4. </w:t>
            </w:r>
          </w:p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проекта решения о бюджете городского округа на очередной финансовый год и плановый период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B6014C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бюджетном процессе в Волчанском городс</w:t>
            </w:r>
            <w:r w:rsidR="00F67362">
              <w:rPr>
                <w:rFonts w:ascii="Times New Roman" w:hAnsi="Times New Roman" w:cs="Times New Roman"/>
                <w:sz w:val="24"/>
                <w:szCs w:val="24"/>
              </w:rPr>
              <w:t>ком округе, утвержденным 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Волчанской городской Думы от 26.02.2014 года № 7</w:t>
            </w:r>
            <w:r w:rsidR="00F67362">
              <w:rPr>
                <w:rFonts w:ascii="Times New Roman" w:hAnsi="Times New Roman" w:cs="Times New Roman"/>
                <w:sz w:val="24"/>
                <w:szCs w:val="24"/>
              </w:rPr>
              <w:t>, Решением Волчанской городской Думы от 29.0</w:t>
            </w:r>
            <w:r w:rsidR="000F7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736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73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A4B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736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F7C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362">
              <w:rPr>
                <w:rFonts w:ascii="Times New Roman" w:hAnsi="Times New Roman" w:cs="Times New Roman"/>
                <w:sz w:val="24"/>
                <w:szCs w:val="24"/>
              </w:rPr>
              <w:t>«Об особенностях составления и утверждения проекта бюджета Волчанского городского округа на 201</w:t>
            </w:r>
            <w:r w:rsidR="000F7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73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F7CDA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</w:t>
            </w:r>
            <w:r w:rsidR="00F673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 вносит на рассмотрение городской Думы проект решения о бюджете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 </w:t>
            </w:r>
            <w:r w:rsidR="000F7CD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текущего года. Проект решения о бюджете Волчанского городского округа на 201</w:t>
            </w:r>
            <w:r w:rsidR="000F7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F7CDA">
              <w:rPr>
                <w:rFonts w:ascii="Times New Roman" w:hAnsi="Times New Roman" w:cs="Times New Roman"/>
                <w:sz w:val="24"/>
                <w:szCs w:val="24"/>
              </w:rPr>
              <w:t xml:space="preserve">и плановый период 2018 и 2019 годов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 в Волчанскую городскую Думу </w:t>
            </w:r>
            <w:r w:rsidR="000F7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0F7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со всеми документами и материалами, предоставляемыми одновременно с проектом бюджета.</w:t>
            </w:r>
          </w:p>
        </w:tc>
      </w:tr>
      <w:tr w:rsidR="0012600D" w:rsidRPr="0012600D" w:rsidTr="00C4422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5. </w:t>
            </w:r>
          </w:p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местного бюджета преимущественно в программной структуре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E55479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Волчанского городского округа от 20.11.2013 года № 921 утвержден порядок формирования и реализации муниципальных программ Волчанского городского округа. В соответствии с данным порядком </w:t>
            </w:r>
            <w:r w:rsidR="0017103D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2908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</w:t>
            </w:r>
            <w:r w:rsidR="002908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99C" w:rsidRPr="00807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440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409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Доля расходов формируемых в рамках программ </w:t>
            </w:r>
            <w:r w:rsidR="00AB56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F5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B56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</w:t>
            </w:r>
            <w:r w:rsidR="00A0212D">
              <w:rPr>
                <w:rFonts w:ascii="Times New Roman" w:eastAsia="Times New Roman" w:hAnsi="Times New Roman" w:cs="Times New Roman"/>
                <w:sz w:val="24"/>
                <w:szCs w:val="24"/>
              </w:rPr>
              <w:t>96,</w:t>
            </w:r>
            <w:r w:rsidR="00A663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5479">
              <w:rPr>
                <w:rFonts w:ascii="Times New Roman" w:eastAsia="Times New Roman" w:hAnsi="Times New Roman" w:cs="Times New Roman"/>
                <w:sz w:val="24"/>
                <w:szCs w:val="24"/>
              </w:rPr>
              <w:t>% в общем объеме расходов</w:t>
            </w:r>
            <w:r w:rsidR="000504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103D" w:rsidRPr="00050448">
              <w:rPr>
                <w:rFonts w:ascii="Times New Roman" w:hAnsi="Times New Roman" w:cs="Times New Roman"/>
                <w:sz w:val="24"/>
                <w:szCs w:val="24"/>
              </w:rPr>
              <w:t>На реализацию муниципальных программ в 201</w:t>
            </w:r>
            <w:r w:rsidR="00EF5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03D" w:rsidRPr="00050448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 направить </w:t>
            </w:r>
            <w:r w:rsidR="00A663E0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  <w:r w:rsidR="0017103D" w:rsidRPr="000504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B56F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</w:t>
            </w:r>
            <w:r w:rsidR="000E7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00D" w:rsidRPr="0012600D" w:rsidTr="00C4422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6. </w:t>
            </w:r>
          </w:p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AB56F1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ведение сводной бюджетной росписи Волчанского городского округа осуществляется в соответствии с Порядком составления сводной бюджетной росписи Волчанского городского округа утвержденным приказом финансового отдела администрации ВГО от 25.12.2013 года № 43 </w:t>
            </w:r>
          </w:p>
        </w:tc>
      </w:tr>
      <w:tr w:rsidR="0012600D" w:rsidRPr="0012600D" w:rsidTr="00C4422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7. </w:t>
            </w:r>
          </w:p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0F7CDA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FBB">
              <w:rPr>
                <w:rFonts w:ascii="Times New Roman" w:hAnsi="Times New Roman" w:cs="Times New Roman"/>
                <w:sz w:val="24"/>
                <w:szCs w:val="24"/>
              </w:rPr>
              <w:t>остановка на учет бюджетных обязательств получа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средств местного бюджета </w:t>
            </w:r>
            <w:r w:rsidR="002B0FBB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0FBB">
              <w:rPr>
                <w:rFonts w:ascii="Times New Roman" w:hAnsi="Times New Roman" w:cs="Times New Roman"/>
                <w:sz w:val="24"/>
                <w:szCs w:val="24"/>
              </w:rPr>
              <w:t>тся в соответствии с Порядком учета бюджетных обязательств получателей средств местного бюджета утвержде</w:t>
            </w:r>
            <w:r w:rsidR="005E78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0FBB">
              <w:rPr>
                <w:rFonts w:ascii="Times New Roman" w:hAnsi="Times New Roman" w:cs="Times New Roman"/>
                <w:sz w:val="24"/>
                <w:szCs w:val="24"/>
              </w:rPr>
              <w:t>ным приказом Финансового отдела администрации ВГО от 26.12.2014 года №32</w:t>
            </w:r>
          </w:p>
        </w:tc>
      </w:tr>
      <w:tr w:rsidR="0012600D" w:rsidRPr="0012600D" w:rsidTr="00C4422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8. </w:t>
            </w:r>
          </w:p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Проведение  санкционирования операций получателей  бюджетных средств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EB70FD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оплаты денежных обязательств получателей средств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ВГО, применяется в целях исключения принятия к финансированию расходов и совершения платежей,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утвержденным Решением о бюджете. Санкционирование </w:t>
            </w:r>
            <w:r w:rsidR="00B72118">
              <w:rPr>
                <w:rFonts w:ascii="Times New Roman" w:hAnsi="Times New Roman" w:cs="Times New Roman"/>
                <w:sz w:val="24"/>
                <w:szCs w:val="24"/>
              </w:rPr>
              <w:t>оплаты денежных обязатель</w:t>
            </w:r>
            <w:proofErr w:type="gramStart"/>
            <w:r w:rsidR="00B7211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="00B72118">
              <w:rPr>
                <w:rFonts w:ascii="Times New Roman" w:hAnsi="Times New Roman" w:cs="Times New Roman"/>
                <w:sz w:val="24"/>
                <w:szCs w:val="24"/>
              </w:rPr>
              <w:t xml:space="preserve">оводится в </w:t>
            </w:r>
            <w:r w:rsidR="00E031B7">
              <w:rPr>
                <w:rFonts w:ascii="Times New Roman" w:hAnsi="Times New Roman" w:cs="Times New Roman"/>
                <w:sz w:val="24"/>
                <w:szCs w:val="24"/>
              </w:rPr>
              <w:t>соответствии с П</w:t>
            </w:r>
            <w:r w:rsidR="00B72118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="00E031B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7211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приказом финансового отдела администрации ВГО от 01.01.2011 года №1б</w:t>
            </w:r>
          </w:p>
        </w:tc>
      </w:tr>
      <w:tr w:rsidR="0012600D" w:rsidRPr="0012600D" w:rsidTr="00C44225">
        <w:trPr>
          <w:trHeight w:val="273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9. </w:t>
            </w:r>
          </w:p>
          <w:p w:rsidR="0012600D" w:rsidRPr="0012600D" w:rsidRDefault="0012600D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Формирование и представление бюджетной отчетности  об исполнении местного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Default="00813665" w:rsidP="00C442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  <w:r w:rsidR="00E20EA7">
              <w:rPr>
                <w:rFonts w:ascii="Times New Roman" w:hAnsi="Times New Roman" w:cs="Times New Roman"/>
                <w:sz w:val="24"/>
                <w:szCs w:val="24"/>
              </w:rPr>
              <w:t xml:space="preserve">, квартальная бюджетная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об исполнении бюджета </w:t>
            </w:r>
            <w:r w:rsidR="00E20E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Министерство финансов Свердловской области ежемесячно до 10 числа, месяца, следующего за отчетным месяцем. </w:t>
            </w:r>
            <w:r w:rsidR="00E20EA7">
              <w:rPr>
                <w:rFonts w:ascii="Times New Roman" w:hAnsi="Times New Roman" w:cs="Times New Roman"/>
              </w:rPr>
              <w:t>Г</w:t>
            </w:r>
            <w:r w:rsidR="00E20EA7" w:rsidRPr="00E20EA7">
              <w:rPr>
                <w:rFonts w:ascii="Times New Roman" w:hAnsi="Times New Roman" w:cs="Times New Roman"/>
              </w:rPr>
              <w:t>одов</w:t>
            </w:r>
            <w:r w:rsidR="00E20EA7">
              <w:rPr>
                <w:rFonts w:ascii="Times New Roman" w:hAnsi="Times New Roman" w:cs="Times New Roman"/>
              </w:rPr>
              <w:t>ая</w:t>
            </w:r>
            <w:r w:rsidR="00E20EA7" w:rsidRPr="00E20EA7">
              <w:rPr>
                <w:rFonts w:ascii="Times New Roman" w:hAnsi="Times New Roman" w:cs="Times New Roman"/>
              </w:rPr>
              <w:t xml:space="preserve"> бюджетн</w:t>
            </w:r>
            <w:r w:rsidR="00E20EA7">
              <w:rPr>
                <w:rFonts w:ascii="Times New Roman" w:hAnsi="Times New Roman" w:cs="Times New Roman"/>
              </w:rPr>
              <w:t>ая</w:t>
            </w:r>
            <w:r w:rsidR="00E20EA7" w:rsidRPr="00E20EA7">
              <w:rPr>
                <w:rFonts w:ascii="Times New Roman" w:hAnsi="Times New Roman" w:cs="Times New Roman"/>
              </w:rPr>
              <w:t xml:space="preserve"> отчетност</w:t>
            </w:r>
            <w:r w:rsidR="00E20EA7">
              <w:rPr>
                <w:rFonts w:ascii="Times New Roman" w:hAnsi="Times New Roman" w:cs="Times New Roman"/>
              </w:rPr>
              <w:t>ь</w:t>
            </w:r>
            <w:r w:rsidR="00E20EA7" w:rsidRPr="00E20EA7">
              <w:rPr>
                <w:rFonts w:ascii="Times New Roman" w:hAnsi="Times New Roman" w:cs="Times New Roman"/>
              </w:rPr>
              <w:t xml:space="preserve"> </w:t>
            </w:r>
            <w:r w:rsidR="00892DD9">
              <w:rPr>
                <w:rFonts w:ascii="Times New Roman" w:hAnsi="Times New Roman" w:cs="Times New Roman"/>
              </w:rPr>
              <w:t>предоставляется</w:t>
            </w:r>
            <w:r w:rsidR="00892DD9" w:rsidRPr="00E20EA7">
              <w:rPr>
                <w:rFonts w:ascii="Times New Roman" w:hAnsi="Times New Roman" w:cs="Times New Roman"/>
              </w:rPr>
              <w:t xml:space="preserve"> </w:t>
            </w:r>
            <w:r w:rsidR="00E20EA7" w:rsidRPr="00E20EA7">
              <w:rPr>
                <w:rFonts w:ascii="Times New Roman" w:hAnsi="Times New Roman" w:cs="Times New Roman"/>
              </w:rPr>
              <w:t xml:space="preserve">в Министерство </w:t>
            </w:r>
            <w:r w:rsidR="00E20EA7" w:rsidRPr="00E20EA7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E20EA7" w:rsidRPr="00E20EA7">
              <w:rPr>
                <w:rFonts w:ascii="Times New Roman" w:hAnsi="Times New Roman" w:cs="Times New Roman"/>
              </w:rPr>
              <w:t xml:space="preserve"> Свердловской области</w:t>
            </w:r>
            <w:r w:rsidR="00E20EA7">
              <w:rPr>
                <w:rFonts w:ascii="Times New Roman" w:hAnsi="Times New Roman" w:cs="Times New Roman"/>
              </w:rPr>
              <w:t xml:space="preserve"> в соответствии с ежегодно утвержденным графиком предоставления отчетности.</w:t>
            </w:r>
          </w:p>
          <w:p w:rsidR="00E20EA7" w:rsidRDefault="00892DD9" w:rsidP="00C442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местного бюджета за первый квартал, полугодие и девять месяц предоставляется в городскую Думу и Контрольно-счетный орган не позднее 1 месяца после окончания отчетного периода.</w:t>
            </w:r>
          </w:p>
          <w:p w:rsidR="00E20EA7" w:rsidRDefault="00892DD9" w:rsidP="00C442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об исполнении местного бюджета предоставляется в городскую Думу не позднее 1 мая текущего года.</w:t>
            </w:r>
          </w:p>
          <w:p w:rsidR="008078FF" w:rsidRPr="0012600D" w:rsidRDefault="008078FF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Сроки предоставления отчетности соблюдаются</w:t>
            </w:r>
          </w:p>
        </w:tc>
      </w:tr>
      <w:tr w:rsidR="0012600D" w:rsidRPr="0012600D" w:rsidTr="00C4422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10. </w:t>
            </w:r>
          </w:p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2600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бюджетного законодательства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A37AB3" w:rsidP="00C4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бюджетного законодательства осуществляется в форме предварительного контроля с целью предупреждения и пресечения бюджетных нарушений в процессе исполнения бюджета</w:t>
            </w:r>
          </w:p>
        </w:tc>
      </w:tr>
      <w:tr w:rsidR="0012600D" w:rsidRPr="0012600D" w:rsidTr="00C4422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11. </w:t>
            </w:r>
          </w:p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2600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сфере закупок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A83318" w:rsidRDefault="00B10033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8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0F7CDA" w:rsidRPr="00A83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3318">
              <w:rPr>
                <w:rFonts w:ascii="Times New Roman" w:hAnsi="Times New Roman" w:cs="Times New Roman"/>
                <w:sz w:val="24"/>
                <w:szCs w:val="24"/>
              </w:rPr>
              <w:t xml:space="preserve"> году контр</w:t>
            </w:r>
            <w:r w:rsidR="000D566C" w:rsidRPr="00A83318">
              <w:rPr>
                <w:rFonts w:ascii="Times New Roman" w:hAnsi="Times New Roman" w:cs="Times New Roman"/>
                <w:sz w:val="24"/>
                <w:szCs w:val="24"/>
              </w:rPr>
              <w:t>оль в сфере закупок не осуществ</w:t>
            </w:r>
            <w:r w:rsidRPr="00A83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566C" w:rsidRPr="00A83318">
              <w:rPr>
                <w:rFonts w:ascii="Times New Roman" w:hAnsi="Times New Roman" w:cs="Times New Roman"/>
                <w:sz w:val="24"/>
                <w:szCs w:val="24"/>
              </w:rPr>
              <w:t>ялся</w:t>
            </w:r>
            <w:r w:rsidRPr="00A833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2600D" w:rsidRPr="0012600D" w:rsidTr="00C4422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10. </w:t>
            </w:r>
          </w:p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126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утверждение постановлением главы Волчанского городского </w:t>
            </w:r>
            <w:proofErr w:type="gramStart"/>
            <w:r w:rsidRPr="0012600D">
              <w:rPr>
                <w:rFonts w:ascii="Times New Roman" w:hAnsi="Times New Roman" w:cs="Times New Roman"/>
                <w:bCs/>
                <w:sz w:val="24"/>
                <w:szCs w:val="24"/>
              </w:rPr>
              <w:t>округа программы повышения эффективности  управления</w:t>
            </w:r>
            <w:proofErr w:type="gramEnd"/>
            <w:r w:rsidRPr="00126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муниципальными финансами Волчанского городского округа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5E7880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главы Волчанского городского округа от 17.03.2014 года № 84 утвержден План мероприятий по росту доходов, оптимизации расходов и совершенствованию долговой политики Волчанского городского округа на 2014 – 2016 годы. Составление отчетности о выполнении плана мероприятий осуществляется ежеквартально не позднее 03 числа месяца, следующего за последним месяцем отчетного квартала.</w:t>
            </w:r>
          </w:p>
        </w:tc>
      </w:tr>
      <w:tr w:rsidR="0012600D" w:rsidRPr="0012600D" w:rsidTr="00C4422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12. </w:t>
            </w:r>
          </w:p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финансового менеджмента, осуществляемого главными распорядителями средств областного и местного бюджетов, в соответствии с Порядками  утвержденным Правительством Свердловской области и главой Волчанского городского округа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AB56F1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финансового менеджмента проводится ежегодно в течение 40 рабочих дней с момента предоставления годового отчета об исполнении бюджета главными распорядителями средств бюджета Волчанского городского округа в соответствии с постановлением главы Волчанского городского округа от 14.12.2012 года № 822. </w:t>
            </w:r>
            <w:r w:rsidRPr="00AB5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проведенного мониторинга, на основании рейтинговой 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</w:t>
            </w:r>
            <w:r w:rsidRPr="00AB5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рейтинг главных распорядителей бюджетных средств</w:t>
            </w:r>
          </w:p>
        </w:tc>
      </w:tr>
      <w:tr w:rsidR="0012600D" w:rsidRPr="0012600D" w:rsidTr="00C4422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13. </w:t>
            </w:r>
          </w:p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муниципальных заимствований Волчанского городского округа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813665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заимствований ежегодно утверждается Решением Волчанской городской Думы о бюджете на соответствующий год и плановый период</w:t>
            </w:r>
          </w:p>
        </w:tc>
      </w:tr>
      <w:tr w:rsidR="0012600D" w:rsidRPr="0012600D" w:rsidTr="00C4422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14. </w:t>
            </w:r>
          </w:p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долговой книги в соответствии с утвержденным порядком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691D7F" w:rsidRDefault="00CD18D1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7F">
              <w:rPr>
                <w:rFonts w:ascii="Times New Roman" w:hAnsi="Times New Roman" w:cs="Times New Roman"/>
                <w:sz w:val="24"/>
                <w:szCs w:val="24"/>
              </w:rPr>
              <w:t xml:space="preserve">Долговая книга Волчанского городского округа ведется в соответствии с порядком утвержденным </w:t>
            </w:r>
            <w:r w:rsidR="00691D7F" w:rsidRPr="00691D7F">
              <w:rPr>
                <w:rFonts w:ascii="Times New Roman" w:hAnsi="Times New Roman" w:cs="Times New Roman"/>
                <w:sz w:val="24"/>
                <w:szCs w:val="24"/>
              </w:rPr>
              <w:t>решением Волчанской городской Думы от</w:t>
            </w:r>
            <w:r w:rsidR="00691D7F">
              <w:rPr>
                <w:rFonts w:ascii="Times New Roman" w:hAnsi="Times New Roman" w:cs="Times New Roman"/>
                <w:sz w:val="24"/>
                <w:szCs w:val="24"/>
              </w:rPr>
              <w:t xml:space="preserve"> 31.01.2013 года </w:t>
            </w:r>
            <w:r w:rsidR="00691D7F" w:rsidRPr="00691D7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91D7F">
              <w:rPr>
                <w:rFonts w:ascii="Times New Roman" w:hAnsi="Times New Roman" w:cs="Times New Roman"/>
                <w:sz w:val="24"/>
                <w:szCs w:val="24"/>
              </w:rPr>
              <w:t>15 «Об утверждении порядка осуществления муниципальных заимствований, обслуживания муниципального долга и управления им в Волчанском городском округе и порядка предоставления муниципальных гарантий из бюджета Волчанского городского округа»</w:t>
            </w:r>
          </w:p>
        </w:tc>
      </w:tr>
      <w:tr w:rsidR="0012600D" w:rsidRPr="0012600D" w:rsidTr="00C4422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17. </w:t>
            </w:r>
          </w:p>
          <w:p w:rsidR="0012600D" w:rsidRPr="0012600D" w:rsidRDefault="0012600D" w:rsidP="00C4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Проведение отборов исполнителей на оказание услуг, связанных с выполнением программы муниципальных внутренних заимствований Волчанского городского округа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0D" w:rsidRPr="0012600D" w:rsidRDefault="000D566C" w:rsidP="00C442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программой муниципальных заимствований на 201</w:t>
            </w:r>
            <w:r w:rsidR="000F7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утвержденной Решение</w:t>
            </w:r>
            <w:r w:rsidR="00F932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Волчанской городской Думы от 2</w:t>
            </w:r>
            <w:r w:rsidR="00A83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.12.2014 года </w:t>
            </w:r>
            <w:r w:rsidR="00F932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1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</w:t>
            </w:r>
            <w:r w:rsidR="00F9325C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 на 201</w:t>
            </w:r>
            <w:r w:rsidR="00A83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325C">
              <w:rPr>
                <w:rFonts w:ascii="Times New Roman" w:hAnsi="Times New Roman" w:cs="Times New Roman"/>
                <w:sz w:val="24"/>
                <w:szCs w:val="24"/>
              </w:rPr>
              <w:t xml:space="preserve"> год» муниципальные внутренние заимствования предусмотрены за счет кредитов, привлекаемых от других бюджетной системы Российской Федерации. В связи с чем, в</w:t>
            </w:r>
            <w:r w:rsidR="00E031B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83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31B7">
              <w:rPr>
                <w:rFonts w:ascii="Times New Roman" w:hAnsi="Times New Roman" w:cs="Times New Roman"/>
                <w:sz w:val="24"/>
                <w:szCs w:val="24"/>
              </w:rPr>
              <w:t xml:space="preserve"> году отбор кредитных организаций  на получение кредита не проводился. </w:t>
            </w:r>
          </w:p>
        </w:tc>
      </w:tr>
    </w:tbl>
    <w:p w:rsidR="007A1307" w:rsidRDefault="007A1307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Default="00C44225" w:rsidP="00691D7F">
      <w:pPr>
        <w:spacing w:after="0"/>
      </w:pPr>
    </w:p>
    <w:p w:rsidR="00C44225" w:rsidRPr="00976D1C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ОЦЕНКА ЭФФЕКТИВНОСТИ РЕАЛИЗАЦИИ</w:t>
      </w:r>
    </w:p>
    <w:p w:rsidR="00C44225" w:rsidRPr="00976D1C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</w:t>
      </w:r>
    </w:p>
    <w:p w:rsidR="00C44225" w:rsidRPr="008D6CBC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8D6CBC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</w:p>
    <w:p w:rsidR="00C44225" w:rsidRPr="00976D1C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CBC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ОКРУГА» НА 2014-2020 ГОДЫ</w:t>
      </w:r>
      <w:r w:rsidRPr="00976D1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C44225" w:rsidRPr="00976D1C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4225" w:rsidRPr="00976D1C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="Calibri" w:hAnsi="Times New Roman" w:cs="Times New Roman"/>
          <w:sz w:val="24"/>
          <w:szCs w:val="24"/>
          <w:lang w:eastAsia="en-US"/>
        </w:rPr>
        <w:t>ШКАЛА ОЦЕНКИ ПОЛНОТЫ ФИНАНСИРОВАНИЯ</w:t>
      </w:r>
    </w:p>
    <w:p w:rsidR="00C44225" w:rsidRPr="00976D1C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C44225" w:rsidRPr="00976D1C" w:rsidTr="006B30A3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5" w:rsidRPr="00976D1C" w:rsidRDefault="00C44225" w:rsidP="00C4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Значение Q1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5" w:rsidRPr="00976D1C" w:rsidRDefault="00C44225" w:rsidP="006B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Оценка               </w:t>
            </w:r>
          </w:p>
        </w:tc>
      </w:tr>
      <w:tr w:rsidR="00C24104" w:rsidRPr="00976D1C" w:rsidTr="006B30A3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04" w:rsidRPr="00C912D0" w:rsidRDefault="00C24104" w:rsidP="006B3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04" w:rsidRPr="00C912D0" w:rsidRDefault="00C24104" w:rsidP="006B3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финансирование               </w:t>
            </w:r>
          </w:p>
        </w:tc>
      </w:tr>
    </w:tbl>
    <w:p w:rsidR="00C44225" w:rsidRPr="00976D1C" w:rsidRDefault="00C44225" w:rsidP="00C442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225" w:rsidRPr="00976D1C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="Calibri" w:hAnsi="Times New Roman" w:cs="Times New Roman"/>
          <w:sz w:val="24"/>
          <w:szCs w:val="24"/>
          <w:lang w:eastAsia="en-US"/>
        </w:rPr>
        <w:t>ШКАЛА ОЦЕНКИ ДОСТИЖЕНИЯ</w:t>
      </w:r>
    </w:p>
    <w:p w:rsidR="00C44225" w:rsidRPr="00976D1C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="Calibri" w:hAnsi="Times New Roman" w:cs="Times New Roman"/>
          <w:sz w:val="24"/>
          <w:szCs w:val="24"/>
          <w:lang w:eastAsia="en-US"/>
        </w:rPr>
        <w:t>ПЛАНОВЫХ ЗНАЧЕНИЙ ЦЕЛЕВЫХ ПОКАЗАТЕЛЕЙ</w:t>
      </w:r>
    </w:p>
    <w:p w:rsidR="00C44225" w:rsidRPr="00976D1C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C44225" w:rsidRPr="00976D1C" w:rsidTr="006B30A3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5" w:rsidRPr="00976D1C" w:rsidRDefault="00C44225" w:rsidP="006B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Значение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5" w:rsidRPr="00976D1C" w:rsidRDefault="00C44225" w:rsidP="006B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Оценка                     </w:t>
            </w:r>
          </w:p>
        </w:tc>
      </w:tr>
      <w:tr w:rsidR="00C44225" w:rsidRPr="00976D1C" w:rsidTr="006B30A3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5" w:rsidRPr="00C912D0" w:rsidRDefault="00C44225" w:rsidP="006B3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5" w:rsidRPr="00C912D0" w:rsidRDefault="00C44225" w:rsidP="006B3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(недовыполнение плана) </w:t>
            </w:r>
          </w:p>
        </w:tc>
      </w:tr>
    </w:tbl>
    <w:p w:rsidR="00C44225" w:rsidRPr="00976D1C" w:rsidRDefault="00C44225" w:rsidP="00C442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225" w:rsidRPr="00976D1C" w:rsidRDefault="00C44225" w:rsidP="00C442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225" w:rsidRPr="00D576CB" w:rsidRDefault="00C44225" w:rsidP="00C4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муниципальной программы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76D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24104">
        <w:rPr>
          <w:rFonts w:ascii="Times New Roman" w:eastAsia="Times New Roman" w:hAnsi="Times New Roman" w:cs="Times New Roman"/>
          <w:sz w:val="28"/>
          <w:szCs w:val="28"/>
        </w:rPr>
        <w:t>Средний</w:t>
      </w:r>
      <w:bookmarkStart w:id="0" w:name="_GoBack"/>
      <w:bookmarkEnd w:id="0"/>
      <w:r w:rsidRPr="00FA7461">
        <w:rPr>
          <w:rFonts w:ascii="Times New Roman" w:eastAsia="Times New Roman" w:hAnsi="Times New Roman" w:cs="Times New Roman"/>
          <w:sz w:val="28"/>
          <w:szCs w:val="28"/>
        </w:rPr>
        <w:t xml:space="preserve"> уровень эффективности программы.</w:t>
      </w:r>
    </w:p>
    <w:p w:rsidR="00C44225" w:rsidRDefault="00C44225" w:rsidP="00C44225">
      <w:pPr>
        <w:spacing w:after="0"/>
      </w:pPr>
    </w:p>
    <w:p w:rsidR="00C44225" w:rsidRDefault="00C44225" w:rsidP="00C44225">
      <w:pPr>
        <w:spacing w:after="0"/>
      </w:pPr>
    </w:p>
    <w:p w:rsidR="00C44225" w:rsidRDefault="00C44225" w:rsidP="00691D7F">
      <w:pPr>
        <w:spacing w:after="0"/>
      </w:pPr>
    </w:p>
    <w:sectPr w:rsidR="00C44225" w:rsidSect="00C442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7D35"/>
    <w:rsid w:val="00023E2C"/>
    <w:rsid w:val="00045180"/>
    <w:rsid w:val="00050448"/>
    <w:rsid w:val="000A544A"/>
    <w:rsid w:val="000B4C9B"/>
    <w:rsid w:val="000D566C"/>
    <w:rsid w:val="000E78D7"/>
    <w:rsid w:val="000F4B1E"/>
    <w:rsid w:val="000F7CDA"/>
    <w:rsid w:val="001045F9"/>
    <w:rsid w:val="00105761"/>
    <w:rsid w:val="00110D36"/>
    <w:rsid w:val="00112FD3"/>
    <w:rsid w:val="0012600D"/>
    <w:rsid w:val="0017103D"/>
    <w:rsid w:val="00171F69"/>
    <w:rsid w:val="0017361C"/>
    <w:rsid w:val="001D57C7"/>
    <w:rsid w:val="00223FA0"/>
    <w:rsid w:val="002908F4"/>
    <w:rsid w:val="002927EB"/>
    <w:rsid w:val="002A1C2F"/>
    <w:rsid w:val="002A4B17"/>
    <w:rsid w:val="002B0FBB"/>
    <w:rsid w:val="002E2423"/>
    <w:rsid w:val="002F10A2"/>
    <w:rsid w:val="003257D4"/>
    <w:rsid w:val="003312EA"/>
    <w:rsid w:val="00363796"/>
    <w:rsid w:val="00394076"/>
    <w:rsid w:val="003F5663"/>
    <w:rsid w:val="003F7C79"/>
    <w:rsid w:val="0044099C"/>
    <w:rsid w:val="004B1096"/>
    <w:rsid w:val="004B2CB4"/>
    <w:rsid w:val="004C7C8E"/>
    <w:rsid w:val="004E121D"/>
    <w:rsid w:val="00546414"/>
    <w:rsid w:val="00546B6F"/>
    <w:rsid w:val="005502AB"/>
    <w:rsid w:val="00553F40"/>
    <w:rsid w:val="00573954"/>
    <w:rsid w:val="005830F4"/>
    <w:rsid w:val="005C0198"/>
    <w:rsid w:val="005D5C18"/>
    <w:rsid w:val="005E21B6"/>
    <w:rsid w:val="005E7880"/>
    <w:rsid w:val="005F193B"/>
    <w:rsid w:val="00602B4D"/>
    <w:rsid w:val="006338A2"/>
    <w:rsid w:val="00652243"/>
    <w:rsid w:val="00663FA6"/>
    <w:rsid w:val="00691D7F"/>
    <w:rsid w:val="006D32EB"/>
    <w:rsid w:val="00747009"/>
    <w:rsid w:val="0074742E"/>
    <w:rsid w:val="00757DA9"/>
    <w:rsid w:val="00794D1D"/>
    <w:rsid w:val="007A1307"/>
    <w:rsid w:val="007C4F16"/>
    <w:rsid w:val="007E553C"/>
    <w:rsid w:val="00801BF2"/>
    <w:rsid w:val="00802C5B"/>
    <w:rsid w:val="008078FF"/>
    <w:rsid w:val="00813665"/>
    <w:rsid w:val="00814A85"/>
    <w:rsid w:val="00822BE1"/>
    <w:rsid w:val="00850D54"/>
    <w:rsid w:val="0087099C"/>
    <w:rsid w:val="0087386B"/>
    <w:rsid w:val="00892DD9"/>
    <w:rsid w:val="008C673D"/>
    <w:rsid w:val="008D2A3F"/>
    <w:rsid w:val="008D34C2"/>
    <w:rsid w:val="008D6CBC"/>
    <w:rsid w:val="008E1DA5"/>
    <w:rsid w:val="008F6BC6"/>
    <w:rsid w:val="00971C5B"/>
    <w:rsid w:val="009743A5"/>
    <w:rsid w:val="009C20BA"/>
    <w:rsid w:val="009D3B5F"/>
    <w:rsid w:val="009D4950"/>
    <w:rsid w:val="009D4ECF"/>
    <w:rsid w:val="00A0212D"/>
    <w:rsid w:val="00A37AB3"/>
    <w:rsid w:val="00A540B5"/>
    <w:rsid w:val="00A632E3"/>
    <w:rsid w:val="00A64086"/>
    <w:rsid w:val="00A663E0"/>
    <w:rsid w:val="00A83318"/>
    <w:rsid w:val="00A90309"/>
    <w:rsid w:val="00AB56F1"/>
    <w:rsid w:val="00B0090B"/>
    <w:rsid w:val="00B10033"/>
    <w:rsid w:val="00B6014C"/>
    <w:rsid w:val="00B72118"/>
    <w:rsid w:val="00B77490"/>
    <w:rsid w:val="00B94B2C"/>
    <w:rsid w:val="00BA6263"/>
    <w:rsid w:val="00BB4273"/>
    <w:rsid w:val="00BB6C6C"/>
    <w:rsid w:val="00C24104"/>
    <w:rsid w:val="00C44225"/>
    <w:rsid w:val="00C64FC8"/>
    <w:rsid w:val="00C74615"/>
    <w:rsid w:val="00CA3BAE"/>
    <w:rsid w:val="00CD18D1"/>
    <w:rsid w:val="00CE24A9"/>
    <w:rsid w:val="00D0445A"/>
    <w:rsid w:val="00D17E9C"/>
    <w:rsid w:val="00D860D7"/>
    <w:rsid w:val="00DA2DF4"/>
    <w:rsid w:val="00DE372D"/>
    <w:rsid w:val="00E031B7"/>
    <w:rsid w:val="00E20EA7"/>
    <w:rsid w:val="00E24BAB"/>
    <w:rsid w:val="00E3282D"/>
    <w:rsid w:val="00E33CE9"/>
    <w:rsid w:val="00E37C79"/>
    <w:rsid w:val="00E55479"/>
    <w:rsid w:val="00E64CCA"/>
    <w:rsid w:val="00EA7D35"/>
    <w:rsid w:val="00EB70FD"/>
    <w:rsid w:val="00EB7B54"/>
    <w:rsid w:val="00EE0507"/>
    <w:rsid w:val="00EF55AC"/>
    <w:rsid w:val="00F07726"/>
    <w:rsid w:val="00F10C65"/>
    <w:rsid w:val="00F15B30"/>
    <w:rsid w:val="00F35FAA"/>
    <w:rsid w:val="00F67362"/>
    <w:rsid w:val="00F728C3"/>
    <w:rsid w:val="00F912F9"/>
    <w:rsid w:val="00F9325C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7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A7D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rsid w:val="004E12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E121D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 Знак Знак Знак Знак Знак Знак Знак"/>
    <w:basedOn w:val="a"/>
    <w:rsid w:val="00CA3BA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7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8C3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7C4F1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4F16"/>
    <w:pPr>
      <w:shd w:val="clear" w:color="auto" w:fill="FFFFFF"/>
      <w:spacing w:before="300" w:after="420" w:line="240" w:lineRule="atLeast"/>
      <w:ind w:hanging="420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82B9-633E-480C-941E-F8D75C85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алёна</cp:lastModifiedBy>
  <cp:revision>3</cp:revision>
  <cp:lastPrinted>2017-06-26T07:10:00Z</cp:lastPrinted>
  <dcterms:created xsi:type="dcterms:W3CDTF">2017-02-27T05:53:00Z</dcterms:created>
  <dcterms:modified xsi:type="dcterms:W3CDTF">2017-06-26T07:10:00Z</dcterms:modified>
</cp:coreProperties>
</file>