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</w:t>
      </w:r>
      <w:r>
        <w:rPr/>
        <w:drawing>
          <wp:inline distT="0" distB="0" distL="0" distR="0">
            <wp:extent cx="370840" cy="592455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АДМИНИСТРАЦИЯ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32"/>
          <w:szCs w:val="32"/>
        </w:rPr>
      </w:pPr>
      <w:r>
        <w:rPr>
          <w:rFonts w:cs="Times New Roman" w:ascii="Times New Roman" w:hAnsi="Times New Roman"/>
          <w:b/>
          <w:iCs/>
          <w:sz w:val="32"/>
          <w:szCs w:val="32"/>
        </w:rPr>
        <w:t>П Р О Т О К О 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Заседания Координационной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при главе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по реализации, оценке эффективности и контролю за выполнением муниципальных программ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27</w:t>
      </w:r>
      <w:r>
        <w:rPr>
          <w:rFonts w:cs="Times New Roman" w:ascii="Times New Roman" w:hAnsi="Times New Roman"/>
          <w:iCs/>
          <w:sz w:val="28"/>
          <w:szCs w:val="28"/>
        </w:rPr>
        <w:t>.0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5</w:t>
      </w:r>
      <w:r>
        <w:rPr>
          <w:rFonts w:cs="Times New Roman" w:ascii="Times New Roman" w:hAnsi="Times New Roman"/>
          <w:iCs/>
          <w:sz w:val="28"/>
          <w:szCs w:val="28"/>
        </w:rPr>
        <w:t>.20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iCs/>
          <w:sz w:val="28"/>
          <w:szCs w:val="28"/>
        </w:rPr>
        <w:t xml:space="preserve"> г.</w:t>
        <w:tab/>
        <w:t xml:space="preserve">        </w:t>
        <w:tab/>
        <w:tab/>
        <w:tab/>
        <w:tab/>
        <w:tab/>
        <w:tab/>
        <w:tab/>
        <w:tab/>
        <w:t xml:space="preserve">              № </w:t>
      </w:r>
      <w:r>
        <w:rPr>
          <w:rFonts w:cs="Times New Roman" w:ascii="Times New Roman" w:hAnsi="Times New Roman"/>
          <w:iCs/>
          <w:sz w:val="28"/>
          <w:szCs w:val="28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Кабинет главы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Председатель</w:t>
      </w:r>
      <w:r>
        <w:rPr>
          <w:rFonts w:cs="Times New Roman" w:ascii="Times New Roman" w:hAnsi="Times New Roman"/>
          <w:iCs/>
          <w:sz w:val="28"/>
          <w:szCs w:val="28"/>
        </w:rPr>
        <w:t xml:space="preserve"> – </w:t>
      </w:r>
      <w:r>
        <w:rPr>
          <w:rFonts w:cs="Times New Roman" w:ascii="Times New Roman" w:hAnsi="Times New Roman"/>
          <w:b/>
          <w:iCs/>
          <w:sz w:val="28"/>
          <w:szCs w:val="28"/>
        </w:rPr>
        <w:t>Бородулина И.В.</w:t>
      </w:r>
      <w:r>
        <w:rPr>
          <w:rFonts w:cs="Times New Roman" w:ascii="Times New Roman" w:hAnsi="Times New Roman"/>
          <w:iCs/>
          <w:sz w:val="28"/>
          <w:szCs w:val="28"/>
        </w:rPr>
        <w:t>, заместитель главы администрации  Волчанского городского округа по социальным вопросам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Секретарь</w:t>
      </w:r>
      <w:r>
        <w:rPr>
          <w:rFonts w:cs="Times New Roman" w:ascii="Times New Roman" w:hAnsi="Times New Roman"/>
          <w:iCs/>
          <w:sz w:val="28"/>
          <w:szCs w:val="28"/>
        </w:rPr>
        <w:t xml:space="preserve"> – </w:t>
      </w:r>
      <w:r>
        <w:rPr>
          <w:rFonts w:cs="Times New Roman" w:ascii="Times New Roman" w:hAnsi="Times New Roman"/>
          <w:b/>
          <w:iCs/>
          <w:sz w:val="28"/>
          <w:szCs w:val="28"/>
        </w:rPr>
        <w:t>Феттер Е.В.</w:t>
      </w:r>
      <w:r>
        <w:rPr>
          <w:rFonts w:cs="Times New Roman" w:ascii="Times New Roman" w:hAnsi="Times New Roman"/>
          <w:iCs/>
          <w:sz w:val="28"/>
          <w:szCs w:val="28"/>
        </w:rPr>
        <w:t>, начальник экономического отдела администрации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Присутствовали</w:t>
      </w:r>
      <w:r>
        <w:rPr>
          <w:rFonts w:cs="Times New Roman" w:ascii="Times New Roman" w:hAnsi="Times New Roman"/>
          <w:iCs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образования ВГО</w:t>
        <w:tab/>
        <w:tab/>
        <w:tab/>
        <w:t>- Адельфинская О.В.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 финансового отдела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ВГО</w:t>
        <w:tab/>
        <w:tab/>
        <w:tab/>
        <w:tab/>
        <w:tab/>
        <w:tab/>
        <w:t>- Симонова Т.В.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директора МКУ «УГХ»</w:t>
        <w:tab/>
        <w:tab/>
        <w:tab/>
        <w:tab/>
        <w:tab/>
        <w:t xml:space="preserve">-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Барабанова Н.В.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председателя КУИ ВГО</w:t>
        <w:tab/>
        <w:tab/>
        <w:tab/>
        <w:tab/>
        <w:tab/>
        <w:t>- Сандуляк Н.М.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выполнении муниципальных программ ВГО за 20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 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(сфера – органы местного самоуправления).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(докладчики: Бородулина И.В., Феттер Е.В., Карелина Т.Б., Сандуляк Н.М., Симонова Т.В., </w:t>
      </w:r>
      <w:r>
        <w:rPr>
          <w:rFonts w:eastAsia="" w:cs="Times New Roman" w:ascii="Times New Roman" w:hAnsi="Times New Roman" w:eastAsiaTheme="minorEastAsia"/>
          <w:i/>
          <w:sz w:val="28"/>
          <w:szCs w:val="28"/>
          <w:lang w:eastAsia="ru-RU"/>
        </w:rPr>
        <w:t>Клементьева Ю.П.</w:t>
      </w:r>
      <w:r>
        <w:rPr>
          <w:rFonts w:cs="Times New Roman" w:ascii="Times New Roman" w:hAnsi="Times New Roman"/>
          <w:i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Бородулина И.В.: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реализации муниципальных программ обращать особое внимание на соответствие финансирования  мероприятий и выполнение целевых показателей эффективности программ. Обязательно между показателями и мероприятиями должна быть взаимосвязь.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по реализации муниципальных программ ВГО: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социально-экономической политики на территории ВГО до 2024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Обеспечение общественной безопасности на территории ВГО </w:t>
      </w:r>
      <w:r>
        <w:rPr>
          <w:rFonts w:cs="Times New Roman" w:ascii="Times New Roman" w:hAnsi="Times New Roman"/>
          <w:sz w:val="28"/>
          <w:szCs w:val="28"/>
        </w:rPr>
        <w:t>до 2026 года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Профилактика правонарушений на территории ВГО до 2024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эффективности управления муниципальной собственностью ВГО до 202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Управление муниципальными финансами ВГО </w:t>
      </w:r>
      <w:r>
        <w:rPr>
          <w:rFonts w:cs="Times New Roman" w:ascii="Times New Roman" w:hAnsi="Times New Roman"/>
          <w:sz w:val="28"/>
          <w:szCs w:val="28"/>
        </w:rPr>
        <w:t>до 2026 года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Развитие муниципальной службы </w:t>
      </w:r>
      <w:r>
        <w:rPr>
          <w:rFonts w:cs="Times New Roman" w:ascii="Times New Roman" w:hAnsi="Times New Roman"/>
          <w:sz w:val="28"/>
          <w:szCs w:val="28"/>
        </w:rPr>
        <w:t>до 2026 года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документов территориального планирования, градостроительного зонирования и документации по планировке территории ВГО на 2015-2026 года;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Реализация прочих мероприятий в ВГО на период до 2024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принять к сведению.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Председательствующий</w:t>
        <w:tab/>
        <w:tab/>
        <w:tab/>
        <w:tab/>
        <w:tab/>
        <w:t xml:space="preserve">             И.В. Бородулина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 xml:space="preserve">                                 Е.В. Феттер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15e30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15e3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15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9CD6-D517-4386-8D90-7C87C7D4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LibreOffice/7.1.7.2$Windows_X86_64 LibreOffice_project/c6a4e3954236145e2acb0b65f68614365aeee33f</Application>
  <AppVersion>15.0000</AppVersion>
  <DocSecurity>0</DocSecurity>
  <Pages>2</Pages>
  <Words>249</Words>
  <Characters>1732</Characters>
  <CharactersWithSpaces>2137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2013-10-22T08:48:00Z</dcterms:created>
  <dc:creator>Экономический</dc:creator>
  <dc:description/>
  <dc:language>ru-RU</dc:language>
  <cp:lastModifiedBy/>
  <cp:lastPrinted>2020-06-15T10:56:00Z</cp:lastPrinted>
  <dcterms:modified xsi:type="dcterms:W3CDTF">2022-05-27T15:09:05Z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