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04.02.2022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внесении изменений в  План мероприятий «дорожную карту»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 содействию развития конкуренции в Волчанском городском округе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на 2019-2022 годы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 исполнение Указа </w:t>
      </w:r>
      <w:r>
        <w:rPr>
          <w:rFonts w:eastAsia="Calibri" w:cs="Times New Roman" w:ascii="Times New Roman" w:hAnsi="Times New Roman"/>
          <w:spacing w:val="5"/>
          <w:sz w:val="28"/>
          <w:szCs w:val="28"/>
        </w:rPr>
        <w:t>Губернатора Свердловской области от 29.10.2019 года № 524-УГ «О внедрении на территории Свердловской области стандарта развития конкуренции в субъектах Российской Федерации», распоряжением Губернатора Свердловской области от 29.11.2019 года       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2019-2022 годов», руководствуясь Уставом Волчанского городского округа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, 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tLeast" w:line="315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Внести изменения в План мероприятий «дорожную карту» по содействию развития конкуренции в Волчанском городском округе на 2019-2022 годы (далее — План мероприятий), в редакции постановления главы Волчанского городского округа от </w:t>
      </w:r>
      <w:r>
        <w:rPr>
          <w:rFonts w:eastAsia="Calibri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en-US" w:bidi="ar-SA"/>
        </w:rPr>
        <w:t>04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.12.2020 года № </w:t>
      </w:r>
      <w:r>
        <w:rPr>
          <w:rFonts w:eastAsia="Calibri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en-US" w:bidi="ar-SA"/>
        </w:rPr>
        <w:t>528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en-US" w:bidi="ar-SA"/>
        </w:rPr>
        <w:t>О внесении изменений в План мероприятий «дорожную карту» по содействию развития конкуренции в Волчанском городском округе на 2019-2022 годы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>», утвердив его в новой редакции (прилагается)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.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93" w:leader="none"/>
        </w:tabs>
        <w:suppressAutoHyphens w:val="true"/>
        <w:bidi w:val="0"/>
        <w:spacing w:lineRule="atLeast" w:line="315" w:before="0" w:after="0"/>
        <w:ind w:left="0" w:right="0" w:firstLine="737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1.1. Дополнить План мероприятий Приложением «Мероприятия, способствующие развитию конкуренции на территории Волчанского городского округа, реализуемые в рамках выполнения муниципальных программ Волчанского городского округа».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http://www.volchansk-adm.ru/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 xml:space="preserve">                       А.В. Вервейн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главы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  <w:tab w:val="left" w:pos="11218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04.02.2022</w:t>
      </w:r>
      <w:r>
        <w:rPr>
          <w:rFonts w:cs="Times New Roman" w:ascii="Times New Roman" w:hAnsi="Times New Roman"/>
          <w:sz w:val="28"/>
          <w:szCs w:val="28"/>
        </w:rPr>
        <w:t xml:space="preserve"> года  № </w:t>
      </w:r>
      <w:r>
        <w:rPr>
          <w:rFonts w:cs="Times New Roman" w:ascii="Times New Roman" w:hAnsi="Times New Roman"/>
          <w:sz w:val="28"/>
          <w:szCs w:val="28"/>
        </w:rPr>
        <w:t>53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План мероприятий «дорожная карта»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СОДЕЙСТВИЮ развития конкуренции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в Волчанском городском округе на 2019-2022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tbl>
      <w:tblPr>
        <w:tblW w:w="146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119"/>
        <w:gridCol w:w="3545"/>
        <w:gridCol w:w="1182"/>
        <w:gridCol w:w="1000"/>
        <w:gridCol w:w="1028"/>
        <w:gridCol w:w="976"/>
        <w:gridCol w:w="1002"/>
        <w:gridCol w:w="2157"/>
      </w:tblGrid>
      <w:tr>
        <w:trPr>
          <w:tblHeader w:val="true"/>
          <w:trHeight w:val="554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blHeader w:val="true"/>
          <w:trHeight w:val="554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33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 Рынок услуг дошкольного образования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текущей ситуации на рынке.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состоянию на 1 января 2022 года в Волчанском городском округе отсутствуют негосударственные образовательные организации, реализующие программы по дошкольному образованию (далее – НДО). Опыта поддержки развития НДО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нет.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вопросы: – отсутствие соответствующего опыта.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информирование об оказании правовой, методической и консультационной поддержки частным образовательным организациям, реализующим программы дошкольного образования.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 Рынок архитектурно-строительного проектирования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текущей ситуации на рынке.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состоянию на 1 января 2022 года инженерные изыскания и архитектурно-строительное проектирование на территории Волчанского городского округа осуществляется с привлечением изыскательских и проектных организаций. Вместе с тем на рынке наблюдается тенденция к сокращению средней доли затрат на проектирование в общем объем объеме капитальных вложение при создании объектов капитального строительства.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вопросы: – ограниченный доступ малых и средних компаний к архитектурно-строительному проектированию крупных проектов; – отставание темпов проектирования и строительства объектов социальной сферы от темпов строительства жилья.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повышение уровня квалификации работников отдела ЖКХ, строительства и архитектуры администрации Волчанского городского округа.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на регулярной основе мероприятий, направленных на повышение 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сотрудников отдела ЖКХ, строительства и архитектуры администрации Волчанского городского округа, прошедших повышение квалификации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и организационный отделы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3. Рынок кадастровых и землеустроительных работ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текущей ситуации на рынке.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 деятельности»).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вопросы: – низкое качество кадастровых работ, технической инвентаризации – наличие незарегистрированных объектов недвижимости.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выявление неоформленных объектов недвижимости в целях обеспечения проведения в отношении них кадастровых работ; – повышение требований к исполнителям работ при заключении муниципальных контрактов.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 перечень незарегистрированных объектов недвижимости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4. Рынок теплоснабжения (производство тепловой энергии)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текущей ситуации на рынке.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состоянию на 1 января 2022 года на рынке теплоснабжения Волчанского городского округа осуществляют деятельность 3 теплоснабжающие, тепло сетевые организации, из них 2 организации частной формы собственности (66,7 % от общего количества организаций на рынке).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Отпуск тепловой энергии производится от 4 отопительных котельных суммарной мощностью 135,3 Гкал/час, из которых 25% являются частными. На природном газе работают 3 котельных (75%), на щепе и торфе – 1 котельная (25%). Для развития рынка теплоснабжения на территории Волчанского городского округа используются следующие инструменты: –разработка и реализация муниципальных программ по повышению энергоэффективности потребления услуг на рынке теплоснабжения; – оказание муниципальной поддержки для модернизации систем теплоснабжения. В целях реализации положений Федерального закона от 27 июля 2010 года № 190-ФЗ «О теплоснабжении» утверждена схема теплоснабжения, осуществляется ее актуализация.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вопросы. Рынок теплоснабжения Волчанского городского округа продолжает характеризоваться износом коммунальных объектов и инженерных коммуникаций, который не обеспечивает возрастающих потребностей общества, в том числе связанных с новым жилищным строительством.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повышение уровня профессиональной подготовки инженерного и технического состава, обслуживающих источники теплоснабжения; – повышение качества оказания услуг на рынке теплоснабжения; – передача управления объектов производства тепловой энергии частным операторам на основе концессионных соглашений; –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актуализация схемы теплоснабжения Волчанского городского округа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актуализированной схемы теплоснабжения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организаций, получивших паспорта готовности к отопительному периоду, от общего числа организаций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текущей ситуации на рынке.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Перевозку пассажиров автомобильным транспортом по муниципальным маршрутам регулярных перевозок на территории Волчанского городского округа осуществляет частный перевозчик. Муниципальное унитарное предприятие «Волчанский автоэлектротранспорт» осуществляет перевозку пассажиров наземным электрическим транспортом (трамвай).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вопросы: –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перевозок; - значительные первоначальные вложения (стоимость автобусов и их обслуживания) при длительных сроках окупаемости; – рост числа административных барьеров, затрудняющих ведение бизнеса на рынке пассажирских перевозок; – отставание темпов развития транспортной инфраструктуры от темпов социально-экономического развития Волчанского городского округа; - низкое качество оказываемых услуг.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–– обновление подвижного состава;– субсидирование перевозок; - создание системы безналичной оплаты проезда.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среднее количество участников конкурсных процедур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6. Сфера наружной рекламы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вопросы.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правонарушениях,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рекламе». При этом существует потребность в повышении эффективности проводимых мероприятий по борьбе с недобросовестными реклам распространителями, осуществляющими установку рекламных конструкций в отсутствие действующих разрешений.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расширение функций уполномоченных органов в сфере рекламы – борьба с незаконными рекламными конструкциями и недобросовестными реклам распространителями, направленная на повышение инвестиционной привлекательности рынка наружной рекламы; – проведение торгов на размещение рекламных конструкций только в электронном виде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  <w:t>Основные мероприятия, направленные на развитие конкурентной среды в Волчанском городском округе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местного самоуправления Волчанского городского округа, подведомственные им муниципальные учреждения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20,85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25,53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32,7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32,7</w:t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анализа нормативных правовых актов Волчанского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внесены изменения в нормативные правовые акты органов местного самоуправления Волчанского городского округа,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сроков предоставления муниципальных услуг, предоставляемых в соответствии с Федеральным законом № 210-ФЗ, относящихся к органов местного самоуправления, снижения стоимости предоставления 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отдел, 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 и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3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Значения показателей экономической эффективности деятельности муниципальных унитарных предприятий Волчанского городского округа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Утверждается программа управления муниципальной собственностью Волчанского городского округа и приватизации муниципального имущества</w:t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планов закупок на соответствующий год 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Утверждены планы закупок</w:t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Подготовлены заключения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информации о муниципальном имуществе, находящемся в собственности Волчанского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3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 и посредством заключения концессионных соглашений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деятельности по содействию развитию конкуренции, размещаемой в Волчанском городском округе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Волчанский Фонд поддержки малого предпринимательства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мероприятий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«дорожной карте» по содействию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конкуренции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Волчанском городском округе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2019-2022 годы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СПОСОБСТВУЮЩИЕ РАЗВИТИЮ КОНКУРЕНЦИИ НА ТЕРРИТОРИИ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ВОЛЧАНСКОГО ГОРОДСКОГО ОКРУГА,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РЕАЛИЗУЕМЫЕ В РАМКАХ  ВЫПОЛНЕНИЯ  МУНИЦИПАЛЬНЫХ ПРОГРАММ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5"/>
        <w:gridCol w:w="6300"/>
        <w:gridCol w:w="7024"/>
      </w:tblGrid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Нормативное обоснование мероприятия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Рынок услуг дошкольного образования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Создание условий для возможности организации дошкольного образования в частных дошкольных образовательных организациях</w:t>
            </w:r>
          </w:p>
        </w:tc>
        <w:tc>
          <w:tcPr>
            <w:tcW w:w="7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Муниципальная программа  Волчанского городского округа «Развитие системы образования и реализация молодежной  политики в Волчанском городском округе до 2026 года», утвержденная постановлением главы Волчанского городского округа от 20.03.2020 года № 113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отдыха детей в каникулярное время</w:t>
            </w:r>
          </w:p>
        </w:tc>
        <w:tc>
          <w:tcPr>
            <w:tcW w:w="70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33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Рынок услуг в сфере культуры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Муниципальная программа Волчанского городского округа «Развитие культуры в Волчанском городском округе до 2026 года», утвержденная постановлением главы Волчанского городского округа от 13.08.2020 года № 323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Разработка прогноза баланса трудовых ресурсов Волчанского городского округа и прогноза потребности Волчанского городского округа в подготовке кадров по  группам специальностей</w:t>
            </w:r>
          </w:p>
        </w:tc>
        <w:tc>
          <w:tcPr>
            <w:tcW w:w="7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Муниципальная программа Волчанского городского округа «Совершенствование социально-экономической политики на территории Волчанского городского округа до 2024 года», утвержденная постановлением главы Волчанского городского округа от 27.01.2014 года № 50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Развитие молодежного предпринимательства - «Школа бизнеса»</w:t>
            </w:r>
          </w:p>
        </w:tc>
        <w:tc>
          <w:tcPr>
            <w:tcW w:w="7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916" w:hanging="106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f8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d51d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d51d3"/>
    <w:rPr/>
  </w:style>
  <w:style w:type="character" w:styleId="Style16">
    <w:name w:val="Интернет-ссылка"/>
    <w:basedOn w:val="DefaultParagraphFont"/>
    <w:uiPriority w:val="99"/>
    <w:unhideWhenUsed/>
    <w:rsid w:val="000a3003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c351f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ad5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ad5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51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10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c34b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6D2E-E27B-484C-BA15-20CAB43D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Application>LibreOffice/7.1.7.2$Windows_X86_64 LibreOffice_project/c6a4e3954236145e2acb0b65f68614365aeee33f</Application>
  <AppVersion>15.0000</AppVersion>
  <Pages>19</Pages>
  <Words>2904</Words>
  <Characters>22743</Characters>
  <CharactersWithSpaces>25587</CharactersWithSpaces>
  <Paragraphs>293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2019-08-20T05:47:00Z</dcterms:created>
  <dc:creator>Баитова Елена Евгеньевна</dc:creator>
  <dc:description/>
  <dc:language>ru-RU</dc:language>
  <cp:lastModifiedBy/>
  <cp:lastPrinted>2022-02-03T18:31:38Z</cp:lastPrinted>
  <dcterms:modified xsi:type="dcterms:W3CDTF">2022-02-07T15:28:33Z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