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16.04.2021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cs="Times New Roman" w:ascii="Times New Roman" w:hAnsi="Times New Roman"/>
          <w:color w:val="333333"/>
          <w:sz w:val="24"/>
          <w:szCs w:val="24"/>
        </w:rPr>
        <w:t>170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22,23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.12.2020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540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</w:rPr>
        <w:t>16.04.2021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г. № </w:t>
      </w:r>
      <w:r>
        <w:rPr>
          <w:rFonts w:eastAsia="Times New Roman" w:cs="Times New Roman" w:ascii="Times New Roman" w:hAnsi="Times New Roman"/>
          <w:sz w:val="28"/>
          <w:szCs w:val="28"/>
        </w:rPr>
        <w:t>170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16.0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.2021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170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1675" cy="474916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47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.15pt;height:373.8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LibreOffice/6.4.5.2$Windows_X86_64 LibreOffice_project/a726b36747cf2001e06b58ad5db1aa3a9a1872d6</Application>
  <Pages>4</Pages>
  <Words>371</Words>
  <Characters>2426</Characters>
  <CharactersWithSpaces>2912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2021-04-19T10:13:11Z</cp:lastPrinted>
  <dcterms:modified xsi:type="dcterms:W3CDTF">2021-04-19T10:13:24Z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