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24.06.2022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Об утверждении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 План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мероприятий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«дорожн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ой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карт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 содействию развити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ю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конкуренции в Волчанском городском округе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период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22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год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Во исполнение </w:t>
      </w:r>
      <w:r>
        <w:rPr>
          <w:rFonts w:eastAsia="Calibri" w:cs="Times New Roman" w:ascii="Times New Roman" w:hAnsi="Times New Roman"/>
          <w:sz w:val="28"/>
          <w:szCs w:val="28"/>
        </w:rPr>
        <w:t>распоряжения Губернатора Свердловской области от 28.12.2021 года № 249-РГ</w:t>
      </w:r>
      <w:r>
        <w:rPr>
          <w:rFonts w:eastAsia="Calibri" w:cs="Times New Roman" w:ascii="Times New Roman" w:hAnsi="Times New Roman"/>
          <w:spacing w:val="5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spacing w:val="5"/>
          <w:sz w:val="28"/>
          <w:szCs w:val="28"/>
        </w:rPr>
        <w:t>Об утверждении Плана мероприятий («дорожной карты») по содействию развитию конкуренции в Свердловской области на период 2022-2025 годов</w:t>
      </w:r>
      <w:r>
        <w:rPr>
          <w:rFonts w:eastAsia="Calibri" w:cs="Times New Roman" w:ascii="Times New Roman" w:hAnsi="Times New Roman"/>
          <w:spacing w:val="5"/>
          <w:sz w:val="28"/>
          <w:szCs w:val="28"/>
        </w:rPr>
        <w:t>», руководствуясь Уставом Волчанского городского округа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, 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1.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Утвердить </w:t>
      </w:r>
      <w:hyperlink r:id="rId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мероприятий («дорожную карту») по содействию развитию конкуренции в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Волчанском городском округе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на период 2022-2025 годов (прилагается).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2.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Органам местного самоуправления Волчанского городского округа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, ответственным за реализацию </w:t>
      </w:r>
      <w:hyperlink r:id="rId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мероприятий («дорожной карты») по содействию развитию конкуренции в Свердловской области на период          2022-2025 годов (далее - «дорожная карта») обеспечить выполнение мероприятий «дорожной карты» в полном объеме.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spacing w:val="-2"/>
          <w:sz w:val="28"/>
          <w:szCs w:val="28"/>
          <w:u w:val="none"/>
        </w:rPr>
        <w:t>3. Постановление главы Волчанского городского округа от 14.08.2019 года № 307 «Об утверждении</w:t>
      </w:r>
      <w:hyperlink r:id="rId5"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 xml:space="preserve"> План</w:t>
        </w:r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>а</w:t>
        </w:r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 xml:space="preserve"> мероприятий «дорожн</w:t>
        </w:r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>ой</w:t>
        </w:r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 xml:space="preserve"> карт</w:t>
        </w:r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>ы</w:t>
        </w:r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>» по содействию развития конкуренции в Волчанском городском округе на 2019-2022 год</w:t>
        </w:r>
        <w:r>
          <w:rPr>
            <w:rFonts w:eastAsia="Calibri" w:cs="Times New Roman" w:ascii="Times New Roman" w:hAnsi="Times New Roman"/>
            <w:color w:val="000000"/>
            <w:spacing w:val="-2"/>
            <w:sz w:val="28"/>
            <w:szCs w:val="28"/>
          </w:rPr>
          <w:t>ы» (с изменениями от 04.12.2020 года № 528 и от 04.02.2022 года № 53) считать утратившим силу</w:t>
        </w:r>
        <w:r>
          <w:rPr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>.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Cs/>
          <w:spacing w:val="2"/>
          <w:sz w:val="28"/>
          <w:szCs w:val="28"/>
          <w:lang w:eastAsia="ru-RU"/>
        </w:rPr>
        <w:t xml:space="preserve">4. </w:t>
      </w:r>
      <w:hyperlink r:id="rId6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Настоящее постановление разместить 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на официальном сайте Волчанского городского округа в сети Интернет </w:t>
        </w:r>
      </w:hyperlink>
      <w:hyperlink r:id="rId7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http://www.volchansk-adm.ru/</w:t>
        </w:r>
      </w:hyperlink>
      <w:hyperlink r:id="rId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hyperlink r:id="rId10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Контроль за исполнением настоящего постановления оставляю за собой.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Глава городского округа</w:t>
          <w:tab/>
          <w:tab/>
          <w:tab/>
          <w:tab/>
          <w:tab/>
          <w:t xml:space="preserve">                       А.В. Вервейн</w:t>
        </w:r>
      </w:hyperlink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hyperlink r:id="rId12">
        <w:r>
          <w:rPr>
            <w:rFonts w:cs="Times New Roman" w:ascii="Times New Roman" w:hAnsi="Times New Roman"/>
            <w:sz w:val="28"/>
            <w:szCs w:val="28"/>
          </w:rPr>
          <w:t xml:space="preserve">УТВЕРЖДЕН </w:t>
        </w:r>
      </w:hyperlink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hyperlink r:id="rId13">
        <w:r>
          <w:rPr>
            <w:rFonts w:cs="Times New Roman" w:ascii="Times New Roman" w:hAnsi="Times New Roman"/>
            <w:sz w:val="28"/>
            <w:szCs w:val="28"/>
          </w:rPr>
          <w:t xml:space="preserve">постановлением главы </w:t>
        </w:r>
      </w:hyperlink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hyperlink r:id="rId14">
        <w:r>
          <w:rPr>
            <w:rFonts w:cs="Times New Roman" w:ascii="Times New Roman" w:hAnsi="Times New Roman"/>
            <w:sz w:val="28"/>
            <w:szCs w:val="28"/>
          </w:rPr>
          <w:t xml:space="preserve">Волчанского городского округа </w:t>
        </w:r>
      </w:hyperlink>
    </w:p>
    <w:p>
      <w:pPr>
        <w:pStyle w:val="Normal"/>
        <w:tabs>
          <w:tab w:val="clear" w:pos="708"/>
          <w:tab w:val="left" w:pos="7513" w:leader="none"/>
          <w:tab w:val="left" w:pos="8222" w:leader="none"/>
          <w:tab w:val="left" w:pos="11218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hyperlink r:id="rId15">
        <w:r>
          <w:rPr>
            <w:rFonts w:cs="Times New Roman" w:ascii="Times New Roman" w:hAnsi="Times New Roman"/>
            <w:sz w:val="28"/>
            <w:szCs w:val="28"/>
          </w:rPr>
          <w:t xml:space="preserve">от </w:t>
        </w:r>
        <w:r>
          <w:rPr>
            <w:rFonts w:cs="Times New Roman" w:ascii="Times New Roman" w:hAnsi="Times New Roman"/>
            <w:sz w:val="28"/>
            <w:szCs w:val="28"/>
          </w:rPr>
          <w:t>24.06.2022</w:t>
        </w:r>
        <w:r>
          <w:rPr>
            <w:rFonts w:cs="Times New Roman" w:ascii="Times New Roman" w:hAnsi="Times New Roman"/>
            <w:sz w:val="28"/>
            <w:szCs w:val="28"/>
          </w:rPr>
          <w:t xml:space="preserve"> года  № </w:t>
        </w:r>
        <w:r>
          <w:rPr>
            <w:rFonts w:cs="Times New Roman" w:ascii="Times New Roman" w:hAnsi="Times New Roman"/>
            <w:sz w:val="28"/>
            <w:szCs w:val="28"/>
          </w:rPr>
          <w:t>242</w:t>
        </w:r>
        <w:r>
          <w:rPr>
            <w:rFonts w:cs="Times New Roman" w:ascii="Times New Roman" w:hAnsi="Times New Roman"/>
            <w:sz w:val="28"/>
            <w:szCs w:val="28"/>
          </w:rPr>
          <w:tab/>
        </w:r>
      </w:hyperlink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hyperlink r:id="rId16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hyperlink r:id="rId17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hyperlink r:id="rId18">
        <w:r>
          <w:rPr>
            <w:rFonts w:cs="Times New Roman" w:ascii="Times New Roman" w:hAnsi="Times New Roman"/>
            <w:b/>
            <w:caps/>
            <w:sz w:val="28"/>
            <w:szCs w:val="28"/>
          </w:rPr>
          <w:t xml:space="preserve">План мероприятий 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>(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>«дорожная карта»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>)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hyperlink r:id="rId19">
        <w:r>
          <w:rPr>
            <w:rFonts w:cs="Times New Roman" w:ascii="Times New Roman" w:hAnsi="Times New Roman"/>
            <w:b/>
            <w:caps/>
            <w:sz w:val="28"/>
            <w:szCs w:val="28"/>
          </w:rPr>
          <w:t>по СОДЕЙСТВИЮ развитию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 xml:space="preserve"> конкуренции 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hyperlink r:id="rId20">
        <w:r>
          <w:rPr>
            <w:rFonts w:cs="Times New Roman" w:ascii="Times New Roman" w:hAnsi="Times New Roman"/>
            <w:b/>
            <w:caps/>
            <w:sz w:val="28"/>
            <w:szCs w:val="28"/>
          </w:rPr>
          <w:t xml:space="preserve">в Волчанском городском округе на 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 xml:space="preserve">ПЕРИОД 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>20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>22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>-202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>5</w:t>
        </w:r>
        <w:r>
          <w:rPr>
            <w:rFonts w:cs="Times New Roman" w:ascii="Times New Roman" w:hAnsi="Times New Roman"/>
            <w:b/>
            <w:caps/>
            <w:sz w:val="28"/>
            <w:szCs w:val="28"/>
          </w:rPr>
          <w:t xml:space="preserve"> год</w:t>
        </w:r>
      </w:hyperlink>
      <w:r>
        <w:rPr>
          <w:rFonts w:cs="Times New Roman" w:ascii="Times New Roman" w:hAnsi="Times New Roman"/>
          <w:b/>
          <w:caps/>
          <w:sz w:val="28"/>
          <w:szCs w:val="28"/>
        </w:rPr>
        <w:t>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hyperlink r:id="rId21">
        <w:r>
          <w:rPr>
            <w:rFonts w:cs="Times New Roman" w:ascii="Times New Roman" w:hAnsi="Times New Roman"/>
            <w:b/>
            <w:caps/>
            <w:sz w:val="28"/>
            <w:szCs w:val="28"/>
          </w:rPr>
        </w:r>
      </w:hyperlink>
    </w:p>
    <w:tbl>
      <w:tblPr>
        <w:tblW w:w="146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119"/>
        <w:gridCol w:w="3546"/>
        <w:gridCol w:w="1182"/>
        <w:gridCol w:w="1000"/>
        <w:gridCol w:w="1028"/>
        <w:gridCol w:w="977"/>
        <w:gridCol w:w="1001"/>
        <w:gridCol w:w="2156"/>
      </w:tblGrid>
      <w:tr>
        <w:trPr>
          <w:tblHeader w:val="true"/>
          <w:trHeight w:val="554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Номер строки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Наименование мероприятия</w:t>
              </w:r>
            </w:hyperlink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Результат исполнения мероприятия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(Наименование показателя)</w:t>
              </w:r>
            </w:hyperlink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Единица измерения</w:t>
              </w:r>
            </w:hyperlink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Ожидаемый результат</w:t>
              </w:r>
            </w:hyperlink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Ответственный исполнитель</w:t>
              </w:r>
            </w:hyperlink>
          </w:p>
        </w:tc>
      </w:tr>
      <w:tr>
        <w:trPr>
          <w:tblHeader w:val="true"/>
          <w:trHeight w:val="554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  <w:tc>
          <w:tcPr>
            <w:tcW w:w="3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20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202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202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202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</w:tr>
      <w:tr>
        <w:trPr>
          <w:tblHeader w:val="true"/>
          <w:trHeight w:val="33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9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48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1. Рынок услуг дошкольного образования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По состоянию на 1 января 2022 года в Волчанском городском округе отсутствуют негосударственные образовательные организации, реализующие программы по дошкольному образованию (далее – НДО). Опыта поддержки развития НДО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нет.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Проблемные вопросы: – отсутствие соответствующего опыта.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Методы решения: – информирование об оказании правовой, методической и консультационной поддержки частным образовательным организациям, реализующим программы дошкольного образования.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</w:t>
              </w:r>
            </w:hyperlink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Отдел образования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65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2. Рынок архитектурно-строительного проектирования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По состоянию на 1 января 2022 года инженерные изыскания и архитектурно-строительное проектирование на территории Волчанского городского округа осуществляется с привлечением изыскательских и проектных организаций. Вместе с тем на рынке наблюдается тенденция к сокращению средней доли затрат на проектирование в общем объем объеме капитальных вложение при создании объектов капитального строительства.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7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Проблемные вопросы: – ограниченный доступ малых и средних компаний к архитектурно-строительному проектированию крупных проектов; – отставание темпов проектирования и строительства объектов социальной сферы от темпов строительства жилья.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7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Методы решения: – повышение уровня квалификации работников отдела ЖКХ, строительства и архитектуры администрации Волчанского городского округа.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Проведение на регулярной основе мероприятий, направленных на повышение уровня квалификации работников отдела ЖКХ, строительства и архитектуры администрации Волчанского городского округа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количество сотрудников отдела ЖКХ, строительства и архитектуры администрации Волчанского городского округа, прошедших повышение квалификации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единиц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7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Отдел ЖКХ, строительства и архитектуры и организационный отделы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80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3. Рынок кадастровых и землеустроительных работ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рынка: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 деятельности»).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5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Проблемные вопросы: – низкое качество кадастровых работ, технической инвентаризации – наличие незарегистрированных объектов недвижимости.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Методы решения: – выявление неоформленных объектов недвижимости в целях обеспечения проведения в отношении них кадастровых работ; – повышение требований к исполнителям работ при заключении муниципальных контрактов.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Выявление незарегистрированных объектов недвижимости, находящихся в муниципальной собственности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увеличение доли зарегистрированных объектов недвижимости, от общего числа объектов, находящихся в собственности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97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2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98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3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99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9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Выявление собственников незарегистрированных объектов недвижимости (бесхозяйных объектов недвижимости)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сформирован перечень незарегистрированных объектов недвижимости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05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4. Рынок теплоснабжения (производство тепловой энергии)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12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рынка: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По состоянию на 1 января 2022 года на рынке теплоснабжения Волчанского городского округа осуществляют деятельность 3 теплоснабжающие, тепло сетевые организации, из них 2 организации частной формы собственности (66,7 % от общего количества организаций на рынке).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Отпуск тепловой энергии производится от 4 отопительных котельных суммарной мощностью 135,3 Гкал/час, из которых 25% являются частными. На природном газе работают 3 котельных (75%), на щепе и торфе – 1 котельная (25%). Для развития рынка теплоснабжения на территории Волчанского городского округа используются следующие инструменты: –разработка и реализация муниципальных программ по повышению энергоэффективности потребления услуг на рынке теплоснабжения; – оказание муниципальной поддержки для модернизации систем теплоснабжения. В целях реализации положений Федерального закона от 27 июля 2010 года № 190-ФЗ «О теплоснабжении» утверждена схема теплоснабжения, осуществляется ее актуализация.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Проблемные вопросы. Рынок теплоснабжения Волчанского городского округа продолжает характеризоваться износом коммунальных объектов и инженерных коммуникаций, который не обеспечивает возрастающих потребностей общества, в том числе связанных с новым жилищным строительством.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Методы решения: – повышение уровня профессиональной подготовки инженерного и технического состава, обслуживающих источники теплоснабжения; – повышение качества оказания услуг на рынке теплоснабжения; – передача управления объектов производства тепловой энергии частным операторам на основе концессионных соглашений; – организационно-методическая и консультационная поддержка по вопросам организации деятельности организаций в сфере теплоснабжения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Утверждение и актуализация схемы теплоснабжения Волчанского городского округа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Наличие актуализированной схемы теплоснабжения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Отдел ЖКХ, строительства и архитектуры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З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акрепление прав на объекты теплоснабжения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муниципальным предприятиям или учреждениям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доля организаций, получивших паспорта готовности к отопительному периоду, от общего числа организаций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Отдел ЖКХ, строительства и архитектуры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15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32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5. Рынок оказания услуг по перевозке пассажиров автомобильным транспортом по муниципальным маршрутам регулярных перевозок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16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рынка: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5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Перевозку пассажиров автомобильным транспортом по муниципальным маршрутам регулярных перевозок на территории Волчанского городского округа осуществляет частный перевозчик. Муниципальное унитарное предприятие «Волчанский автоэлектротранспорт» осуществляет перевозку пассажиров наземным электрическим транспортом (трамвай).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Проблемные вопросы: –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перевозок; - значительные первоначальные вложения (стоимость автобусов и их обслуживания) при длительных сроках окупаемости; – рост числа административных барьеров, затрудняющих ведение бизнеса на рынке пассажирских перевозок; – отставание темпов развития транспортной инфраструктуры от темпов социально-экономического развития Волчанского городского округа; - низкое качество оказываемых услуг.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Методы решения: –– обновление подвижного состава;– субсидирование перевозок; - создание системы безналичной оплаты проезда.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среднее количество участников конкурсных процедур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единиц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4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Муниципальное казенное учреждение «Управление городского хозяйства»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Проведение мониторинга исполнения муниципальных контрактов в соответствии с требованиями закупочной деятельности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доля муниципальных контрактов, заключенных в соответствии с требованиями закупочной деятельности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5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Муниципальное казенное учреждение «Управление городского хозяйства»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19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58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6. Сфера наружной рекламы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рынка.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Проблемные вопросы. 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правонарушениях,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рекламе». При этом существует потребность в повышении эффективности проводимых мероприятий по борьбе с недобросовестными реклам распространителями, осуществляющими установку рекламных конструкций в отсутствие действующих разрешений.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Методы решения: – расширение функций уполномоченных органов в сфере рекламы – борьба с незаконными рекламными конструкциями и недобросовестными реклам распространителями, направленная на повышение инвестиционной привлекательности рынка наружной рекламы; – проведение торгов на размещение рекламных конструкций только в электронном виде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  </w:r>
            </w:hyperlink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7. Рынок ритуальных услуг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Обоснование выбора товарного рынка с описанием текущей ситуации. По состоянию на 01.01.2022 года на территории Волчанского городского округа функционировали 5 организаций, осуществляющие деятельность на рынке ритуальных услуг, все частной формы собственности (на 01.01.2021 года — 4 организации).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результатов мониторинга состояния и развития конкуренции. Рынок ритуальных услуг характеризуется умеренной конкуренцией. Наблюдается удовлетворенность стоимостью и качеством ритуальных услуг, а также количеством организаций на рынке.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Проблемный вопрос.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услуг, не определен порядок взаимодействия специализированных служб с коммерческими организациями и 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процедур.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Методы решения. Переход на безналичную форму оплаты гражданами ритуальных услуг. Регламентация процедуры предоставления мест для захоронений.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Сведения о существующих кладбищах Волчанского городского округа и местах захоронений на них включены в реестр кладбищ, размещенный на Едином портале государственных и муниципальных услуг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ВГО, МКУ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Обеспечение оказания услуг по организации похорон по принципу «одного окна»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нормативного правового акта об организации оказания услуг по организации похорон по принципу 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дного окна»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ВГО, МКУ «Управление городского хозяйства»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Системные</w:t>
      </w:r>
      <w:hyperlink r:id="rId172">
        <w:r>
          <w:rPr>
            <w:rFonts w:eastAsia="Times New Roman" w:cs="Times New Roman" w:ascii="Times New Roman" w:hAnsi="Times New Roman"/>
            <w:b/>
            <w:sz w:val="24"/>
            <w:szCs w:val="24"/>
            <w:lang w:val="ru-RU" w:eastAsia="ru-RU"/>
          </w:rPr>
          <w:t xml:space="preserve"> мероприятия, направленные на развитие конкурентной среды в Волчанском городском округе</w:t>
        </w:r>
      </w:hyperlink>
    </w:p>
    <w:tbl>
      <w:tblPr>
        <w:tblW w:w="146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119"/>
        <w:gridCol w:w="3546"/>
        <w:gridCol w:w="2156"/>
        <w:gridCol w:w="26"/>
        <w:gridCol w:w="1324"/>
        <w:gridCol w:w="1200"/>
        <w:gridCol w:w="2638"/>
      </w:tblGrid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73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  </w:r>
            </w:hyperlink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осуществления муниципальных нужд</w:t>
              </w:r>
            </w:hyperlink>
          </w:p>
        </w:tc>
        <w:tc>
          <w:tcPr>
            <w:tcW w:w="3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 — не менее 2 участников;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2023 — не менее 2 участников;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2024 — не менее 2 участников;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2025 — не менее 2 участников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Муниципальное казенное учреждение «Управление городского хозяйства»;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органы местного самоуправления Волчанского городского округа, подведомственные им муниципальные учреждения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79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Устранение избыточного муниципального регулирования, снижение административных барьеров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Н</w:t>
            </w:r>
            <w:hyperlink r:id="rId182">
              <w:r>
                <w:rPr>
                  <w:rFonts w:eastAsia="Calibri" w:cs="Times New Roman" w:ascii="Times New Roman" w:hAnsi="Times New Roman"/>
                  <w:sz w:val="22"/>
                  <w:szCs w:val="22"/>
                </w:rPr>
                <w:t>аличие административных регламентов предоставления муниципальных услуг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8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Организационный отдел, отдел ЖКХ, строительства и архитектуры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Устранение избыточного муниципального регулирования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от 06.10.1999 № 184-ФЗ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от 06.10.2003 № 131-ФЗ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наличие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 и муниципальных образований, устанавливаемых в соответствии с федеральными законами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от 06.10.1999 № 184-ФЗ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 и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от 06.10.2003 № 131-ФЗ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, пунктов, предусматривающих анализ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влияния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 таких проектов актов 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средней и высокой степени регулирующего воздействия на конкурентную среду в Волчанском ГО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8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Экономический отдел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88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Организация эффективного управления хозяйствующими субъектами с муниципальным участием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Ежегодно утверждаемые з</w:t>
            </w:r>
            <w:hyperlink r:id="rId19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начения показателей экономической эффективности деятельности муниципальных унитарных предприятий Волчанского городского округа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Утверждение и реализация программы приватизации муниципальных унитарных предприятий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Ежегодно утверждаемая </w:t>
            </w:r>
            <w:hyperlink r:id="rId19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 программа приватизации муниципальн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ых унитарных предприятий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Обеспечение публичности процедуры распоряжения имуществом хозяйствующих субъектов с муниципальным участием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0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Обеспечение и сохранение целевого использования муниципальных объектов недвижимого имущества в социальной сфере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Проведение контрольных мероприятий по проверке целевого использования муниципального недвижимого имущества в социальной сфере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Подготовлены заключения по итогам проверки целевого использования муниципального недвижимого имущества в социальной сфере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0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Создание равных условий доступа к информации о муниципальном имуществе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Размещение информации о муниципальном имуществе, находящемся в собственности Волчанского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 городского округа в сети «Интернет»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Опубликована актуальная информация на официальных сайтах в сети «Интернет»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  </w:r>
            </w:hyperlink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Размещена и обеспечена актуализация информации об объектах на официальном сайте Волчанского городского округа в сети «Интернет»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пределение состава имущества, находящемся в собственности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Волчанского городского округа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5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беспечение приватизации либо перепрофилирования (изменение целевого назначения) имущества, находящегося в собственности органов местного самоуправления,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роведены торги по продаже или мероприятия по перепрофилированию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я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218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Поддержка малого и среднего предпринимательства и индивидуальной предпринимательской инициативы, развитие муниципально-частного партнерства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Начало практики применения механизмов муниципально-частного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Подготовка инвестиционных предложений с применением механизмов муниципально-частного партнерства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размещенных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количество инвестиционных предложений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применением механизмов МЧП и посредством заключения концессионных соглашений (нарастающим итогом)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 — 0;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2023 — 0;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2024 — 0;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2025 — 1.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3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2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Заместитель главы администрации Волчанского городского округа по социальным вопросам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612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225">
              <w:r>
                <w:rPr>
                  <w:rFonts w:eastAsia="Times New Roman" w:cs="Times New Roman" w:ascii="Times New Roman" w:hAnsi="Times New Roman"/>
                  <w:b/>
                  <w:sz w:val="24"/>
                  <w:szCs w:val="24"/>
                  <w:lang w:eastAsia="ru-RU"/>
                </w:rPr>
                <w:t>Выравнивание условий конкуренции на товарных рынках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Выравнивание условий конкуренции в рамках товарных рынков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 состоянии конкуренции на товарных рынках ВГО и деятельности по содействию развитию конкуренции, размещаемой органами местного самоуправления ВГО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</w:t>
            </w:r>
            <w:hyperlink r:id="rId22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 администрации Волчанского городского округа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3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Волчанский Фонд поддержки малого предпринимательства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3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  </w:r>
            </w:hyperlink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32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2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3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роведение мониторингов: удовлетворенности населения деятельностью в сфере финансовых услуг, осуществляемой на территории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Волчанского ГО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; доступности для населения финансовых услуг, оказываемых на территории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Волчанского городского округа</w:t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Развитие торговой деятельности</w:t>
            </w:r>
          </w:p>
        </w:tc>
      </w:tr>
      <w:tr>
        <w:trPr>
          <w:trHeight w:val="318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Обеспечение увеличения количества нестационарных и мобильных торговых объектов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одействие развитию торговой сети в части наличия нестационарных и мобильных торговых объектов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оличество нестационарных торговых объектов и торговых мест под них увеличено не менее чем на 10% к 2025 году по отношению к 2020 году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3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35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36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37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38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39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40">
        <w:r>
          <w:rPr>
            <w:rFonts w:cs="Times New Roman" w:ascii="Times New Roman" w:hAnsi="Times New Roman"/>
            <w:b/>
            <w:sz w:val="28"/>
            <w:szCs w:val="28"/>
          </w:rPr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41">
        <w:r>
          <w:rPr>
            <w:rFonts w:ascii="Times New Roman" w:hAnsi="Times New Roman"/>
            <w:sz w:val="28"/>
            <w:szCs w:val="28"/>
          </w:rPr>
          <w:t>Приложение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42">
        <w:r>
          <w:rPr>
            <w:rFonts w:ascii="Times New Roman" w:hAnsi="Times New Roman"/>
            <w:sz w:val="28"/>
            <w:szCs w:val="28"/>
          </w:rPr>
          <w:t xml:space="preserve">к Плану мероприятий 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243">
        <w:r>
          <w:rPr>
            <w:rFonts w:ascii="Times New Roman" w:hAnsi="Times New Roman"/>
            <w:sz w:val="28"/>
            <w:szCs w:val="28"/>
          </w:rPr>
          <w:t>«дорожной карте»</w:t>
        </w:r>
        <w:r>
          <w:rPr>
            <w:rFonts w:ascii="Times New Roman" w:hAnsi="Times New Roman"/>
            <w:sz w:val="28"/>
            <w:szCs w:val="28"/>
          </w:rPr>
          <w:t>)</w:t>
        </w:r>
        <w:r>
          <w:rPr>
            <w:rFonts w:ascii="Times New Roman" w:hAnsi="Times New Roman"/>
            <w:sz w:val="28"/>
            <w:szCs w:val="28"/>
          </w:rPr>
          <w:t xml:space="preserve"> по содействию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44">
        <w:r>
          <w:rPr>
            <w:rFonts w:ascii="Times New Roman" w:hAnsi="Times New Roman"/>
            <w:sz w:val="28"/>
            <w:szCs w:val="28"/>
          </w:rPr>
          <w:t>развити</w:t>
        </w:r>
        <w:r>
          <w:rPr>
            <w:rFonts w:ascii="Times New Roman" w:hAnsi="Times New Roman"/>
            <w:sz w:val="28"/>
            <w:szCs w:val="28"/>
          </w:rPr>
          <w:t>ю</w:t>
        </w:r>
        <w:r>
          <w:rPr>
            <w:rFonts w:ascii="Times New Roman" w:hAnsi="Times New Roman"/>
            <w:sz w:val="28"/>
            <w:szCs w:val="28"/>
          </w:rPr>
          <w:t xml:space="preserve"> конкуренции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45">
        <w:r>
          <w:rPr>
            <w:rFonts w:ascii="Times New Roman" w:hAnsi="Times New Roman"/>
            <w:sz w:val="28"/>
            <w:szCs w:val="28"/>
          </w:rPr>
          <w:t>в Волчанском городском округе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46">
        <w:r>
          <w:rPr>
            <w:rFonts w:ascii="Times New Roman" w:hAnsi="Times New Roman"/>
            <w:sz w:val="28"/>
            <w:szCs w:val="28"/>
          </w:rPr>
          <w:t xml:space="preserve">на </w:t>
        </w:r>
        <w:r>
          <w:rPr>
            <w:rFonts w:ascii="Times New Roman" w:hAnsi="Times New Roman"/>
            <w:sz w:val="28"/>
            <w:szCs w:val="28"/>
          </w:rPr>
          <w:t xml:space="preserve">период </w:t>
        </w:r>
        <w:r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22</w:t>
        </w:r>
        <w:r>
          <w:rPr>
            <w:rFonts w:ascii="Times New Roman" w:hAnsi="Times New Roman"/>
            <w:sz w:val="28"/>
            <w:szCs w:val="28"/>
          </w:rPr>
          <w:t>-202</w:t>
        </w:r>
        <w:r>
          <w:rPr>
            <w:rFonts w:ascii="Times New Roman" w:hAnsi="Times New Roman"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t xml:space="preserve"> год</w:t>
        </w:r>
      </w:hyperlink>
      <w:r>
        <w:rPr>
          <w:rFonts w:ascii="Times New Roman" w:hAnsi="Times New Roman"/>
          <w:sz w:val="28"/>
          <w:szCs w:val="28"/>
        </w:rPr>
        <w:t>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47">
        <w:r>
          <w:rPr>
            <w:rFonts w:ascii="Times New Roman" w:hAnsi="Times New Roman"/>
            <w:sz w:val="28"/>
            <w:szCs w:val="28"/>
          </w:rPr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ОЖИДАЕМЫЕ РЕЗУЛЬТАТЫ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РАЗВИТИЯ КОНКУРЕНЦИИ В ОТДЕЛЬНЫХ ОТРАСЛЯХ (СФЕРАХ) ЭКОНОМИКИ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 xml:space="preserve">(ВИДАХ ДЕЯТЕЛЬНОСТИ)  В </w:t>
      </w: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ВОЛЧАНСКОМ ГОРОДСКОМ ОКРУГЕ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1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8"/>
        <w:gridCol w:w="13732"/>
      </w:tblGrid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Номер строки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Ожидаемые результаты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- не менее 20%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Увеличено количество нестационарных торговых объектов и торговых мест под них не менее чем на 10% к 2025 году по отношению к 2020 году</w:t>
            </w:r>
          </w:p>
        </w:tc>
      </w:tr>
    </w:tbl>
    <w:p>
      <w:pPr>
        <w:pStyle w:val="Normal"/>
        <w:widowControl w:val="false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f8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d51d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d51d3"/>
    <w:rPr/>
  </w:style>
  <w:style w:type="character" w:styleId="Style16">
    <w:name w:val="Интернет-ссылка"/>
    <w:basedOn w:val="DefaultParagraphFont"/>
    <w:uiPriority w:val="99"/>
    <w:unhideWhenUsed/>
    <w:rsid w:val="000a3003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c351f4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ad5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ad5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51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10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c34b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" Type="http://schemas.openxmlformats.org/officeDocument/2006/relationships/hyperlink" Target="http://www.volchansk-adm.ru/" TargetMode="External"/><Relationship Id="rId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8" Type="http://schemas.openxmlformats.org/officeDocument/2006/relationships/numbering" Target="numbering.xml"/><Relationship Id="rId249" Type="http://schemas.openxmlformats.org/officeDocument/2006/relationships/fontTable" Target="fontTable.xml"/><Relationship Id="rId250" Type="http://schemas.openxmlformats.org/officeDocument/2006/relationships/settings" Target="settings.xml"/><Relationship Id="rId251" Type="http://schemas.openxmlformats.org/officeDocument/2006/relationships/theme" Target="theme/theme1.xml"/><Relationship Id="rId25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6D2E-E27B-484C-BA15-20CAB43D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Application>LibreOffice/7.1.7.2$Windows_X86_64 LibreOffice_project/c6a4e3954236145e2acb0b65f68614365aeee33f</Application>
  <AppVersion>15.0000</AppVersion>
  <Pages>18</Pages>
  <Words>3080</Words>
  <Characters>23875</Characters>
  <CharactersWithSpaces>26873</CharactersWithSpaces>
  <Paragraphs>325</Paragraphs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2022-06-29T15:25:00Z</dcterms:created>
  <dc:creator>Баитова Елена Евгеньевна</dc:creator>
  <dc:description/>
  <dc:language>ru-RU</dc:language>
  <cp:lastModifiedBy/>
  <cp:lastPrinted>2022-06-29T15:33:47Z</cp:lastPrinted>
  <dcterms:modified xsi:type="dcterms:W3CDTF">2022-06-29T15:36:55Z</dcterms:modified>
  <cp:revision>32</cp:revision>
  <dc:subject/>
  <dc:title>Распоряжение Губернатора Свердловской области от 28.12.2021 N 249-РГ"Об утверждении Плана мероприятий ("дорожной карты") по содействию развитию конкуренции в Свердловской области на период 2022 - 2025 годов"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