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0"/>
          <w:szCs w:val="1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en-US"/>
        </w:rPr>
        <w:t>28.</w:t>
      </w:r>
      <w:r>
        <w:rPr>
          <w:sz w:val="28"/>
          <w:szCs w:val="28"/>
          <w:lang w:val="ru-RU"/>
        </w:rPr>
        <w:t>03.2022</w:t>
      </w:r>
      <w:r>
        <w:rPr>
          <w:sz w:val="28"/>
          <w:szCs w:val="28"/>
        </w:rPr>
        <w:t xml:space="preserve">  год</w:t>
        <w:tab/>
        <w:tab/>
        <w:t xml:space="preserve">             </w:t>
        <w:tab/>
        <w:tab/>
        <w:t xml:space="preserve">                                                        № </w:t>
      </w:r>
      <w:r>
        <w:rPr>
          <w:sz w:val="28"/>
          <w:szCs w:val="28"/>
        </w:rPr>
        <w:t>119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Волчанского городского округа «Развитие и обеспечение сохранности сети автомобильных дорог на территории  Волчанского городского округа на 2019-2024 годы»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Волчанской городской Думы от 25.12.2020 года № 57 «О бюджете Волчанского городского округа на 2021 год и плановый период 2022 и 2023 годов» (в редакции от 29.12.2021 года № 64), </w:t>
      </w:r>
      <w:r>
        <w:rPr>
          <w:color w:val="000000"/>
          <w:sz w:val="28"/>
          <w:szCs w:val="28"/>
        </w:rPr>
        <w:t>Решением Волчанской городской Думы от 14.12.2021 года № 59 «О бюджете Волчанского городского округа на 2022 год и плановый период 2023 и 2024 годов»,  постановлением главы Волчанского городског</w:t>
      </w:r>
      <w:r>
        <w:rPr>
          <w:sz w:val="28"/>
          <w:szCs w:val="28"/>
        </w:rPr>
        <w:t>о округа от 20.11.2013 года № 921 «Об утверждении Порядка формирования и реализации муниципальных программ Волчанского городского округа» (с изменениями от 24.09.2015 года № 691, от 18.08.2017 года № 393, от 20.07.2020 года № 286), в целях приведения автомобильных дорог местного значения в нормативное состояние,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Волчанского городского округа «Развитие и обеспечение сохранности сети автомобильных дорог на территории  Волчанского городского округа на 2019-2024 годы», утвержденную постановлением главы Волчанского городского округа от 14.12.2018 года № 608 «Об утверждении муниципальной программы Волчанского городского округа «Развитие и обеспечение сохранности сети автомобильных дорог на территории  Волчанского городского округа на 2019-2024 годы» (с изменениями от 15.02.2021 года № 55) следующие изменения: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паспорта  муниципальной программы изложить в следующей редакции:</w:t>
      </w:r>
    </w:p>
    <w:tbl>
      <w:tblPr>
        <w:tblW w:w="9240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77"/>
        <w:gridCol w:w="3720"/>
        <w:gridCol w:w="5043"/>
      </w:tblGrid>
      <w:tr>
        <w:trPr>
          <w:trHeight w:val="8600" w:hRule="atLeast"/>
        </w:trPr>
        <w:tc>
          <w:tcPr>
            <w:tcW w:w="4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по годам реализации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ВСЕГО: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334877,03355</w:t>
            </w:r>
            <w:r>
              <w:rPr>
                <w:sz w:val="28"/>
              </w:rPr>
              <w:t xml:space="preserve"> тысяч рублей,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 том</w:t>
            </w:r>
            <w:bookmarkStart w:id="0" w:name="_GoBack"/>
            <w:bookmarkEnd w:id="0"/>
            <w:r>
              <w:rPr>
                <w:sz w:val="28"/>
              </w:rPr>
              <w:t xml:space="preserve"> числе: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2019 год –77245,06128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27994,37227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2021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73773,1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2022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130869,5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2023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21995,0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2024 год –3000,0 тысяч рублей.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областной бюджет: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127902,26439</w:t>
            </w:r>
            <w:r>
              <w:rPr>
                <w:sz w:val="28"/>
              </w:rPr>
              <w:t xml:space="preserve"> тысяч рублей, в том числе: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2019 год –59859,7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8710,56439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2021 год –20000,0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2022 год –39332,0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2023 год –0,0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 xml:space="preserve">местный бюджет: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206974,76916</w:t>
            </w:r>
            <w:r>
              <w:rPr>
                <w:sz w:val="28"/>
              </w:rPr>
              <w:t xml:space="preserve"> тысяч рублей,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2019 год –17385,36128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2020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19283,80788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2021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53773,1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2022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91537,5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2023 год –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21995,0</w:t>
            </w:r>
            <w:r>
              <w:rPr>
                <w:sz w:val="28"/>
              </w:rPr>
              <w:t xml:space="preserve">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2024 год –3000,0 тысяч рублей.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внебюджетные источники: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0,0 тысяч рублей,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2019 год – 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2020 год – 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2021 год - 0,0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2022 год - 0,0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2023 год – 0,0 тысяч рублей;</w:t>
            </w:r>
          </w:p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2024 год – 0,0 тысяч рублей.</w:t>
            </w:r>
          </w:p>
        </w:tc>
      </w:tr>
    </w:tbl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4 таблицу изложить в следующей редакции: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</w:t>
      </w:r>
      <w:r>
        <w:rPr/>
        <w:t>(тысяч  рублей)</w:t>
      </w:r>
    </w:p>
    <w:tbl>
      <w:tblPr>
        <w:tblW w:w="9795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67"/>
        <w:gridCol w:w="2745"/>
        <w:gridCol w:w="1081"/>
        <w:gridCol w:w="901"/>
        <w:gridCol w:w="900"/>
        <w:gridCol w:w="900"/>
        <w:gridCol w:w="900"/>
        <w:gridCol w:w="900"/>
        <w:gridCol w:w="900"/>
      </w:tblGrid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Виды расходов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Всего по муниципальной        </w:t>
              <w:br/>
              <w:t>программе: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334877,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03355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77245,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06128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27994,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37227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73773,1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130869,5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21995,0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127902,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26439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59859,7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8710,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56439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39332,0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206974,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76916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17385,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19283,</w:t>
            </w:r>
          </w:p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80788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53773,1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91537,5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21995,0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>
        <w:trPr>
          <w:trHeight w:val="19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изложить в новой редакции (прилагается);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изложить в новой редакции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sz w:val="28"/>
            <w:szCs w:val="28"/>
          </w:rPr>
          <w:t>http://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28.03.2022  </w:t>
      </w:r>
      <w:r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119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ind w:left="9781" w:hanging="0"/>
        <w:rPr>
          <w:sz w:val="28"/>
          <w:szCs w:val="28"/>
        </w:rPr>
      </w:pPr>
      <w:r>
        <w:rPr>
          <w:sz w:val="28"/>
          <w:szCs w:val="28"/>
        </w:rPr>
        <w:t>«Развитие и обеспечение сохранности сети автомобильных дорог на территории  Волчанского городского округа на 2019-2024 годы»</w:t>
      </w:r>
    </w:p>
    <w:p>
      <w:pPr>
        <w:pStyle w:val="Normal"/>
        <w:ind w:left="1020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20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 xml:space="preserve">ПЛАН МЕРОПРИЯТИЙ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>МУНИЦИПАЛЬНОЙ ПРОГРАММЫ ВОЛЧАНСКОГО ГОРОДСКОГО ОКРУГА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/>
        <w:t>«РАЗВИТИЕ И ОБЕСПЕЧЕНИЕ СОХРАННОСТИ СЕТИ АВТОМОБИЛЬНЫХ ДОРОГ НА ТЕРРИТОРИИ  ВОЛЧАНСКОГО ГОРОДСКОГО ОКРУГА НА 2019-2024 ГОДЫ»</w:t>
      </w:r>
    </w:p>
    <w:p>
      <w:pPr>
        <w:pStyle w:val="Normal"/>
        <w:ind w:left="102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33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41"/>
        <w:gridCol w:w="3960"/>
        <w:gridCol w:w="2392"/>
        <w:gridCol w:w="1260"/>
        <w:gridCol w:w="1078"/>
        <w:gridCol w:w="1080"/>
        <w:gridCol w:w="1088"/>
        <w:gridCol w:w="1260"/>
        <w:gridCol w:w="892"/>
        <w:gridCol w:w="7"/>
        <w:gridCol w:w="2"/>
        <w:gridCol w:w="1071"/>
      </w:tblGrid>
      <w:tr>
        <w:trPr>
          <w:tblHeader w:val="true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Исполнитель (соисполнитель) мероприятия</w:t>
            </w:r>
          </w:p>
        </w:tc>
        <w:tc>
          <w:tcPr>
            <w:tcW w:w="7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тысяч рублей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true"/>
        </w:trPr>
        <w:tc>
          <w:tcPr>
            <w:tcW w:w="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true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муниципальной программе, в том числе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334877,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03355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77245,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27994,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37227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73773,1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130869,5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21995,0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127902,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26439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8710,56439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39332,0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206974,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76916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17385,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19283,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80788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53773,1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91537,5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21995,0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 том числе по мероприятиям: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1.Разработка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10546,417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1181,0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3500,0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2003,0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10546,417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2200,0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1181,0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3500,0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2003,0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Целевой показатель : 1.1.1 (см. Приложение № 1)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2.Капитальный ремонт и реконструкция автомобильных дорог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107835,25035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42668,69711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2710,57239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41402,98085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101902,26439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39859,7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2710,56439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39332,0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5932,98596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2808,99711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2070,98085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Целевые показатели: 1.2.1, 2.1.1  (см. Приложение №1)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3.Ремонт автомобильных дорог и искусственных сооружений, расположенных  на них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193180,9682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30908,54717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17563,80188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45039,1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80966,51915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17703,0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sz w:val="18"/>
                <w:szCs w:val="18"/>
              </w:rPr>
              <w:t>000,0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167180,9682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10908,54717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11563,80188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45039,1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80966,51915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17703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Целевые показатели : 2.2.1 ( см.Приложение №1)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4.Комплекс работ по содержанию автомобильных дорог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22814,398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5519,998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22814,398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5519,998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Целевые показатели : 2.2.1 ( см.Приложение №1)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Мероприятие 5.Паспортизация автомобильных дорог, разработка проектов организации дорожного движения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Администрация Волчанского городского округа, МКУ «УГХ»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eastAsia="ru-RU"/>
              </w:rPr>
              <w:t>500,0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146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Целевые показатели: 1.1.1, 1.2.1, 2.1.1, 2.2.1  (см. Приложение №1)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/>
        <w:t>Список сокращений в тексте: МКУ «УГХ» - муниципальное казенное учреждение «Управление городского хозяйства»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Приложение № 4</w:t>
      </w:r>
    </w:p>
    <w:p>
      <w:pPr>
        <w:pStyle w:val="Normal"/>
        <w:ind w:left="9498" w:hanging="0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>
      <w:pPr>
        <w:pStyle w:val="Normal"/>
        <w:ind w:left="9498" w:hanging="0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>
      <w:pPr>
        <w:pStyle w:val="Normal"/>
        <w:widowControl w:val="false"/>
        <w:ind w:left="8790" w:firstLine="708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28.03.2022</w:t>
      </w:r>
      <w:r>
        <w:rPr>
          <w:sz w:val="28"/>
          <w:szCs w:val="28"/>
        </w:rPr>
        <w:t xml:space="preserve">  года  № </w:t>
      </w:r>
      <w:r>
        <w:rPr>
          <w:sz w:val="28"/>
          <w:szCs w:val="28"/>
        </w:rPr>
        <w:t>119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«Развитие и обеспечение  сохранности сети автомобильных дорог на территории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</w:t>
      </w:r>
    </w:p>
    <w:p>
      <w:pPr>
        <w:pStyle w:val="Normal"/>
        <w:widowControl w:val="false"/>
        <w:ind w:left="9498" w:hanging="0"/>
        <w:rPr>
          <w:sz w:val="28"/>
          <w:szCs w:val="28"/>
        </w:rPr>
      </w:pPr>
      <w:r>
        <w:rPr>
          <w:sz w:val="28"/>
          <w:szCs w:val="28"/>
        </w:rPr>
        <w:t>на 2019-2024 годы»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ДЛЯ БЮДЖЕТНЫХ ИНВЕСТИЦИЙ 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ВОЛЧАНСКОГО ГОРОДСКОГО ОКРУГА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ОБЕСПЕЧЕНИЕ СОХРАННОСТИ СЕТИ АВТОМОБИЛЬНЫХ ДОРОГ НА ТЕРРИТОРИИ  ВОЛЧАНСКОГО ГОРОДСКОГО ОКРУГА НА 2019-2024 ГОДЫ»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60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6"/>
        <w:gridCol w:w="3265"/>
        <w:gridCol w:w="1885"/>
        <w:gridCol w:w="1644"/>
        <w:gridCol w:w="1532"/>
        <w:gridCol w:w="1113"/>
        <w:gridCol w:w="1238"/>
        <w:gridCol w:w="1215"/>
        <w:gridCol w:w="1202"/>
        <w:gridCol w:w="1018"/>
      </w:tblGrid>
      <w:tr>
        <w:trPr/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Наименование мероприятия/</w:t>
              <w:br/>
              <w:t xml:space="preserve">   Источники расходов    </w:t>
              <w:br/>
              <w:t xml:space="preserve">    на финансирование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Исполнитель (соисполнитель) мероприятия*</w:t>
            </w:r>
          </w:p>
        </w:tc>
        <w:tc>
          <w:tcPr>
            <w:tcW w:w="8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Объем расходов на выполнение мероприятия за счет     </w:t>
              <w:br/>
              <w:t xml:space="preserve">   всех источников ресурсного обеспечения, тыс. рублей</w:t>
            </w:r>
          </w:p>
        </w:tc>
      </w:tr>
      <w:tr>
        <w:trPr/>
        <w:tc>
          <w:tcPr>
            <w:tcW w:w="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10546,417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162,417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22</w:t>
            </w:r>
            <w:r>
              <w:rPr>
                <w:b/>
                <w:bCs/>
                <w:i/>
                <w:iCs/>
              </w:rPr>
              <w:t>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1181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3500</w:t>
            </w:r>
            <w:r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2003</w:t>
            </w:r>
            <w:r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1500,0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ремонта улиц Кооперативная, Угольная, Мичурина, Молодежная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ремонта улицы Молодежная (от ул. Социалистическая до ул. Садовая)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1.</w:t>
            </w: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ПСД на ремонт а/д  (Талицкая, Краснотурьинская, Угольная, Школьная, Первомайская, Полевая)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капитальный ремонт а/д по ул. Почтовая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экспертизы ПСД на ремонт а/д (Первомайская, Угольная, Школьная, Краснотурьинская, Талицкая, Полевая)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экспертизы ПСД на капитальный ремонт а/д по ул. Почтовая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1.7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а/д по ул. Угольная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а/д по ул.Молодежная, Мичурина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21,208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а/д по ул. Кооперативная, Социалистическая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а/д по ул. Карпинского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а/д по ул. Советская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а/д по ул. Краснотурьинская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ремонт а/м дорог (ул. Талицкая, Краснотурьинская, Угольная, Школьная, Первомайская, Полевая)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ремонт а/м дорог (ул. Базарная, Комсомольский пр-т, Матросова, Мичурина, Парковая, Тагильская, Социалистическая, Физкультурная)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капитальный ремонт а/м дороги по ул. Кольцевая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ПСД на капитальный ремонт а/м дороги по ул. Октябрьская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Реконструкция, капитальный ремонт автомобильных дорог общего пользования местного значения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66432,2695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42668,69711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2710,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57239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21053,0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41402,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98085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а/д по ул.М.Горького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1806,3161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1806,3081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а/д по ул.М.Горького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28342,22539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25631,661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6600"/>
                <w:sz w:val="22"/>
                <w:szCs w:val="22"/>
              </w:rPr>
            </w:pPr>
            <w:r>
              <w:rPr>
                <w:color w:val="FF6600"/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 а/д по ул.Садовая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1002,68911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1002,68911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 а/д по ул.Садовая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14228,0389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14228,0389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автомобильной дороги по ул. Почтовая на территории Волчанского городского округа Свердловской области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98085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автомобильной дороги по ул. Почтовая на территории Волчанского городского округа Свердловской области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39332,0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187238,44905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30908,54717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17563,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80188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45039,1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80966,</w:t>
            </w:r>
          </w:p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51915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rFonts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17703,0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22814,398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3505,4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5519,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6</w:t>
            </w: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00,0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5000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2289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1" w:right="1" w:hanging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Паспортизация автомобильных дорог, разработка проектов организации дорожного движения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конкурсный отбор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500,0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334877,03355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77245,06128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27994,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37227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73773,1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130869,5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21995,0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3000,0</w:t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9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8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07827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AEC59-E4DB-4DA0-948F-EADAEBEC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Application>LibreOffice/7.1.7.2$Windows_X86_64 LibreOffice_project/c6a4e3954236145e2acb0b65f68614365aeee33f</Application>
  <AppVersion>15.0000</AppVersion>
  <Pages>10</Pages>
  <Words>1572</Words>
  <Characters>9387</Characters>
  <CharactersWithSpaces>10658</CharactersWithSpaces>
  <Paragraphs>643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2020-01-24T03:33:00Z</dcterms:created>
  <dc:creator>Экономический</dc:creator>
  <dc:description/>
  <dc:language>ru-RU</dc:language>
  <cp:lastModifiedBy/>
  <cp:lastPrinted>2022-03-28T13:48:20Z</cp:lastPrinted>
  <dcterms:modified xsi:type="dcterms:W3CDTF">2022-04-04T08:01:54Z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