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en-US" w:eastAsia="ru-RU" w:bidi="ar-SA"/>
        </w:rPr>
        <w:t>17.11.2021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  <w:lang w:val="en-US"/>
        </w:rPr>
        <w:t>432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18,19 ноября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 (с изменениями от 15.09.2021 года № 349)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18 ноября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 ноября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2021 года с 10.00 до 18.00 часов по местному времени в северной части города по адресу: 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Исполняющий обязанности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главы Волчанского городского округа</w:t>
        <w:tab/>
        <w:tab/>
        <w:tab/>
        <w:tab/>
        <w:t xml:space="preserve">       И.В. Бородулина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17.11.2021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№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432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18 НОЯБРЯ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17.11.2021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г. №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432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НО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8025" cy="475551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6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65pt;height:374.3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LibreOffice/6.4.5.2$Windows_X86_64 LibreOffice_project/a726b36747cf2001e06b58ad5db1aa3a9a1872d6</Application>
  <Pages>4</Pages>
  <Words>381</Words>
  <Characters>2496</Characters>
  <CharactersWithSpaces>2991</CharactersWithSpaces>
  <Paragraphs>38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2021-11-17T09:38:33Z</cp:lastPrinted>
  <dcterms:modified xsi:type="dcterms:W3CDTF">2021-11-18T08:13:07Z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