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182" w:leader="none"/>
        </w:tabs>
        <w:spacing w:lineRule="auto" w:line="240" w:before="0" w:after="0"/>
        <w:rPr>
          <w:sz w:val="16"/>
          <w:szCs w:val="16"/>
        </w:rPr>
      </w:pPr>
      <w:r>
        <w:rPr/>
        <w:t xml:space="preserve">                                                                                          </w:t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  <w:lang w:val="en-US"/>
        </w:rPr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rPr>
          <w:i/>
          <w:i/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/>
          <w:b/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06.11.2020 год</w:t>
      </w:r>
      <w:r>
        <w:rPr>
          <w:rFonts w:cs="Times New Roman" w:ascii="Times New Roman" w:hAnsi="Times New Roman"/>
          <w:color w:val="333333"/>
        </w:rPr>
        <w:tab/>
        <w:t xml:space="preserve">      </w:t>
        <w:tab/>
      </w:r>
      <w:r>
        <w:rPr>
          <w:rFonts w:cs="Times New Roman" w:ascii="Times New Roman" w:hAnsi="Times New Roman"/>
          <w:color w:val="333333"/>
          <w:sz w:val="18"/>
          <w:szCs w:val="18"/>
        </w:rPr>
        <w:t xml:space="preserve">                                     </w:t>
        <w:tab/>
      </w:r>
      <w:r>
        <w:rPr>
          <w:rFonts w:cs="Times New Roman" w:ascii="Times New Roman" w:hAnsi="Times New Roman"/>
          <w:color w:val="333333"/>
          <w:sz w:val="16"/>
          <w:szCs w:val="16"/>
        </w:rPr>
        <w:tab/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                                            №</w:t>
      </w:r>
      <w:r>
        <w:rPr>
          <w:rFonts w:cs="Times New Roman" w:ascii="Times New Roman" w:hAnsi="Times New Roman"/>
          <w:color w:val="333333"/>
          <w:sz w:val="16"/>
          <w:szCs w:val="16"/>
        </w:rPr>
        <w:t xml:space="preserve">  </w:t>
      </w:r>
      <w:r>
        <w:rPr>
          <w:rFonts w:cs="Times New Roman" w:ascii="Times New Roman" w:hAnsi="Times New Roman"/>
          <w:color w:val="333333"/>
          <w:sz w:val="28"/>
          <w:szCs w:val="28"/>
          <w:u w:val="none"/>
        </w:rPr>
        <w:t>482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 прогнозе социально-экономического развития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Волчанского городского округа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 w:val="false"/>
          <w:b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среднесрочный период 202</w:t>
      </w:r>
      <w:r>
        <w:rPr>
          <w:rFonts w:eastAsia="Calibri" w:cs="Times New Roman" w:ascii="Times New Roman" w:hAnsi="Times New Roman" w:eastAsiaTheme="minorHAnsi"/>
          <w:b/>
          <w:bCs/>
          <w:i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cs="Times New Roman" w:ascii="Times New Roman" w:hAnsi="Times New Roman"/>
          <w:i/>
          <w:sz w:val="28"/>
          <w:szCs w:val="28"/>
        </w:rPr>
        <w:t>-2023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Бюджетным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руководствуясь постановлением главы Волчанского городского округа от 24.09.2015 года № 693 «О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порядке разработки и корректировки прогноза социально-экономического развития  Волчанского городского округа на среднесрочный период</w:t>
      </w:r>
      <w:r>
        <w:rPr>
          <w:rFonts w:cs="Times New Roman" w:ascii="Times New Roman" w:hAnsi="Times New Roman"/>
          <w:sz w:val="28"/>
          <w:szCs w:val="28"/>
        </w:rPr>
        <w:t>» и распоряжением главы Волчанского городского округа  от 02.07.2020 года № 159 «Об утверждении Плана мероприятий по составлению проекта бюджета Волчанского городского округа на 2021 год и плановый период 2022 и 2023 годов»,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Одобрить: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Прогноз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социально-экономического развития Волчанского городского округа на среднесрочный период 2021-2023 годов (прилагается).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Пояснительную записку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прогнозу социально-экономического развития Волчанского городского округа на среднесрочный период 2021-2023 годов (прилагается).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Финансовому отделу администрации Волчанского городского округа (Симонова Т.В.) при разработке проекта бюджета Волчанского городского округа на 2021 год и плановый период 2022 и 2023 годов руководствоваться показателями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прогноза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социально-экономического развития Волчанского городского округа на среднесрочный период 2021-2023 годов.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официальном сайте Волчанского городского округа в сети Интернет http://volchansk-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.ru/.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ОДОБРЕН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главы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от 06.11.2020 года № 482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ПРОГНОЗ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СОЦИАЛЬНО-ЭКОНОМИЧЕСКОГО РАЗВИТИЯ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ВОЛЧАНСКОГО ГОРОДСКОГО ОКРУГА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НА </w:t>
      </w:r>
      <w:r>
        <w:rPr>
          <w:rFonts w:cs="Times New Roman" w:ascii="Times New Roman" w:hAnsi="Times New Roman"/>
          <w:b/>
          <w:sz w:val="28"/>
          <w:szCs w:val="28"/>
        </w:rPr>
        <w:t>СРЕДНЕСРОЧНЫЙ ПЕРИОД 2021-2023 ГОДОВ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83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75"/>
        <w:gridCol w:w="1136"/>
        <w:gridCol w:w="1136"/>
        <w:gridCol w:w="1135"/>
        <w:gridCol w:w="1136"/>
        <w:gridCol w:w="1134"/>
        <w:gridCol w:w="1130"/>
      </w:tblGrid>
      <w:tr>
        <w:trPr>
          <w:tblHeader w:val="true"/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     </w:t>
              <w:br/>
            </w:r>
            <w:r>
              <w:rPr>
                <w:rFonts w:cs="Times New Roman" w:ascii="Times New Roman" w:hAnsi="Times New Roman"/>
              </w:rPr>
              <w:t>измерения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  <w:br/>
              <w:t>отчет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  <w:br/>
              <w:t>оценка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  <w:br/>
              <w:t>прогноз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  <w:br/>
              <w:t>прогноз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  <w:br/>
              <w:t>прогноз</w:t>
            </w:r>
          </w:p>
        </w:tc>
      </w:tr>
      <w:tr>
        <w:trPr>
          <w:trHeight w:val="48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Показатели прогноза    </w:t>
              <w:br/>
              <w:t xml:space="preserve">по Волчанскому городскому округу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Производственная    </w:t>
              <w:br/>
              <w:t xml:space="preserve">деятельность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 Оборот организаций</w:t>
              <w:br/>
              <w:t xml:space="preserve">(по полному кругу)     </w:t>
              <w:br/>
              <w:t xml:space="preserve">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1003,2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847,1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902,584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935,361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978,222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1.2.1. Добыча полезных </w:t>
              <w:br/>
              <w:t xml:space="preserve">ископаемых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Оборот крупных и       </w:t>
              <w:br/>
              <w:t xml:space="preserve">средних предприятий    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1.2.2. Обрабатывающие  </w:t>
              <w:br/>
              <w:t xml:space="preserve">производства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Оборот крупных и       </w:t>
              <w:br/>
              <w:t xml:space="preserve">средних предприятий    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393,6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290,0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350,0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1.2.3. Обеспечение электрической энергией, газом и паром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Оборот крупных и       </w:t>
              <w:br/>
              <w:t xml:space="preserve">средних предприятий    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89,5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92,584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95,361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98,222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1.2.4. Водоснабжение, водоотведение, организация сбора и утилизации отходов, деятельность по ликвидации загрязнений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Оборот крупных и       </w:t>
              <w:br/>
              <w:t xml:space="preserve">средних предприятий    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84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1.3. Оборот крупных и  средних                </w:t>
              <w:br/>
              <w:t>сельскохозяйственных   и лесных</w:t>
              <w:br/>
              <w:t xml:space="preserve">предприятий в ценах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101,7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130,0</w:t>
            </w:r>
          </w:p>
        </w:tc>
      </w:tr>
      <w:tr>
        <w:trPr>
          <w:trHeight w:val="24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Инвестиции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08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2.1. Объем             </w:t>
              <w:br/>
              <w:t xml:space="preserve">инвестиций             </w:t>
              <w:br/>
              <w:t xml:space="preserve">(в основной капитал)   </w:t>
              <w:br/>
              <w:t>за счет всех источников</w:t>
              <w:br/>
              <w:t xml:space="preserve">финансирования         </w:t>
              <w:br/>
              <w:t xml:space="preserve">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592,664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277,672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408,341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 Рынок товаров и     </w:t>
              <w:br/>
              <w:t xml:space="preserve">услуг     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3.1. Оборот розничной  торговли (во всех      </w:t>
              <w:br/>
              <w:t xml:space="preserve">каналах реализации)    </w:t>
              <w:br/>
              <w:t xml:space="preserve">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780,3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690,7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780,0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780,0</w:t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3.2. Оборот            </w:t>
              <w:br/>
              <w:t xml:space="preserve">общественного питания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0,0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 Демография и рынок  труда     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4.1. Численность       </w:t>
              <w:br/>
              <w:t>постоянного населения  (на начало года)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8767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873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703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8883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878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8751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8727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8710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63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4.2.Общий коэффициент рождаемости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 на 1000 населения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9,83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9,74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9,99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10,36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4.3. Численность       </w:t>
              <w:br/>
              <w:t xml:space="preserve">занятых в экономике ВГО (среднегодовая)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55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1990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8,4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4.5. Численность       </w:t>
              <w:br/>
              <w:t xml:space="preserve">безработных            </w:t>
              <w:br/>
              <w:t xml:space="preserve">(на конец отчетного    </w:t>
              <w:br/>
              <w:t xml:space="preserve">периода)  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320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4.6.Уровень зарегистрированной безработицы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7,27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2,27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 Денежные доходы     населения 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5.1. Фонд оплаты труда предприятий,           </w:t>
              <w:br/>
              <w:t xml:space="preserve">организаций и          </w:t>
              <w:br/>
              <w:t xml:space="preserve">учреждений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758,9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758,4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796,36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875,996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928,556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5.2. изменение фонда оплаты труда к предыдущему году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           к предыдущему году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101,9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106,0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5.3. Социальные выплаты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826,2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908,8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900,0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5.4. Доходы от предпринимательской деятельности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5.5. Среднемесячная номинальная начисленная заработная плата одного работника крупных и средних предприятий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32211,3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32682,0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33348,0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35784,0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37746,0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5.6. Коэффициенты роста</w:t>
              <w:br/>
              <w:t>номинальной начисленной</w:t>
              <w:br/>
              <w:t xml:space="preserve">среднемесячной         </w:t>
              <w:br/>
              <w:t xml:space="preserve">заработной платы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процент           </w:t>
              <w:br/>
              <w:t>к предыдущему году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105,5</w:t>
            </w:r>
          </w:p>
        </w:tc>
      </w:tr>
      <w:tr>
        <w:trPr>
          <w:trHeight w:val="48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5.7. Среднедушевые     </w:t>
              <w:br/>
              <w:t xml:space="preserve">денежные доходы        </w:t>
              <w:br/>
              <w:t xml:space="preserve">(в месяц) 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руб./чел.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18547,0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18697,0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19520,0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20457,0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20937,0</w:t>
            </w:r>
          </w:p>
        </w:tc>
      </w:tr>
      <w:tr>
        <w:trPr>
          <w:trHeight w:val="24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6. Финансы           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Коэффициенты ожидаемого роста (снижения) поступлений по доходным источникам бюджета ВГО, связанных с ростом (снижением) макроэкономических показателей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процент           </w:t>
              <w:br/>
              <w:t>к предыдущему году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169,6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100,0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Сведения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численности и половозрастном составе населения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 Волчанскому городскому округу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 1 января 2019 года, человек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82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68"/>
        <w:gridCol w:w="850"/>
        <w:gridCol w:w="849"/>
        <w:gridCol w:w="833"/>
        <w:gridCol w:w="849"/>
        <w:gridCol w:w="782"/>
        <w:gridCol w:w="798"/>
        <w:gridCol w:w="819"/>
        <w:gridCol w:w="882"/>
        <w:gridCol w:w="851"/>
      </w:tblGrid>
      <w:tr>
        <w:trPr>
          <w:trHeight w:val="240" w:hRule="atLeast"/>
          <w:cantSplit w:val="true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Возрастные   </w:t>
              <w:br/>
              <w:t xml:space="preserve">группы 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население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Сельское население</w:t>
            </w:r>
          </w:p>
        </w:tc>
      </w:tr>
      <w:tr>
        <w:trPr>
          <w:trHeight w:val="360" w:hRule="atLeast"/>
          <w:cantSplit w:val="true"/>
        </w:trPr>
        <w:tc>
          <w:tcPr>
            <w:tcW w:w="22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 и</w:t>
              <w:br/>
              <w:t>женщины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 и</w:t>
              <w:br/>
              <w:t>женщины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 и</w:t>
              <w:br/>
              <w:t>женщины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женщины</w:t>
            </w:r>
          </w:p>
        </w:tc>
      </w:tr>
      <w:tr>
        <w:trPr>
          <w:trHeight w:val="24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 население,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8802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4061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4741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8562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3935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4627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114</w:t>
            </w:r>
          </w:p>
        </w:tc>
      </w:tr>
      <w:tr>
        <w:trPr>
          <w:trHeight w:val="24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т.ч.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моложе         </w:t>
              <w:br/>
              <w:t>трудоспособного</w:t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1806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1772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885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</w:tr>
      <w:tr>
        <w:trPr>
          <w:trHeight w:val="36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трудоспособного</w:t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4436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2392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2044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2309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</w:tr>
      <w:tr>
        <w:trPr>
          <w:trHeight w:val="48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старше         </w:t>
              <w:br/>
              <w:t>трудоспособного</w:t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2560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2490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1751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--------------------------------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Численность населения Волчанского городского округа по состоянию на 01.01.2019 года по возрастной структуре по фактическим показателям: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детей в возрасте от 1 до 6 лет включительно – 673 человек (344 – мужской пол, 329 – женский пол);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детей в возрасте от 7 до 17 лет включительно – 1210 человек (606 – мужской пол, 604 – женский пол);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населения в возрасте от 18 до 29 лет включительно – 978 человек (534 – мужской пол, 444 – женский пол);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детей в возрасте до 2 лет включительно – 299 человек (155 – мужской пол, 144 – женский пол);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детей до 18 лет включительно – 2047 человек (1030 – мужской пол, 1017 – женский пол).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567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Волчанскому городскому округу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жилищному фонду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1 января 20</w:t>
      </w:r>
      <w:r>
        <w:rPr>
          <w:rFonts w:cs="Times New Roman" w:ascii="Times New Roman" w:hAnsi="Times New Roman"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3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8"/>
        <w:gridCol w:w="5126"/>
        <w:gridCol w:w="1930"/>
        <w:gridCol w:w="1517"/>
      </w:tblGrid>
      <w:tr>
        <w:trPr/>
        <w:tc>
          <w:tcPr>
            <w:tcW w:w="798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Площадь жилищного фонда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283,6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ветхого и аварийного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34,462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ых помещений муниципальной формы собственности в многоквартирных домах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34,57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семей, состоящих в очереди на улучшение жилищных условий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семей</w:t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754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молодые семьи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семьи, проживающие в ветхом и аварийном жилфонде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681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семьи, проживающие в сельской местности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Переселено из ветхих  и аварийных жилых домов за </w:t>
              <w:br/>
              <w:t>2019 год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семей</w:t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28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постоянного населения, проживающего в индивидуальных жилых домах</w:t>
            </w:r>
          </w:p>
        </w:tc>
        <w:tc>
          <w:tcPr>
            <w:tcW w:w="193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5017</w:t>
            </w:r>
          </w:p>
        </w:tc>
      </w:tr>
    </w:tbl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по Волчанскому городскому округу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протяженности автомобильных дорог местного значения, включенных в реестр муниципальной собственности на 01 января 2020 года</w:t>
      </w:r>
    </w:p>
    <w:tbl>
      <w:tblPr>
        <w:tblStyle w:val="a5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3"/>
        <w:gridCol w:w="5106"/>
        <w:gridCol w:w="1989"/>
        <w:gridCol w:w="1555"/>
      </w:tblGrid>
      <w:tr>
        <w:trPr/>
        <w:tc>
          <w:tcPr>
            <w:tcW w:w="813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82,6135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 по категориям: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0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0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10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27,3285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106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989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55,285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ОДОБРЕНА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постановлением главы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06</w:t>
      </w:r>
      <w:r>
        <w:rPr>
          <w:rFonts w:cs="Times New Roman" w:ascii="Times New Roman" w:hAnsi="Times New Roman"/>
          <w:sz w:val="28"/>
          <w:szCs w:val="28"/>
        </w:rPr>
        <w:t>.11.2020  года № 4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82</w:t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ПРОГНОЗУ СОЦИАЛЬНО-ЭКОНОМИЧЕСКОГО РАЗВИТИЯ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СРЕДНЕСРОЧНЫЙ ПЕРИОД 202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-2023 ГОДОВ</w:t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7">
        <w:r>
          <w:rPr>
            <w:rFonts w:cs="Times New Roman" w:ascii="Times New Roman" w:hAnsi="Times New Roman"/>
            <w:sz w:val="28"/>
            <w:szCs w:val="28"/>
          </w:rPr>
          <w:t>Прогноз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социально-экономического развития Волчанского городского округа на среднесрочный период 2021-2023 годов (далее – Прогноз) разработан в соответствии с Бюджетным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28.06.2014 года № 172-ФЗ «О стратегическом планировании в Российской Федерации», постановлением главы Волчанского городского округа от 24.09.2015 года № 693 «О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порядке разработки и корректировки прогноза социально-экономического развития  Волчанского городского округа на среднесрочный период</w:t>
      </w:r>
      <w:r>
        <w:rPr>
          <w:rFonts w:cs="Times New Roman" w:ascii="Times New Roman" w:hAnsi="Times New Roman"/>
          <w:sz w:val="28"/>
          <w:szCs w:val="28"/>
        </w:rPr>
        <w:t>», распоряжением главы Волчанского городского округа  от 02.07.2020 года № 159 «Об утверждении Плана мероприятий по составлению проекта бюджета Волчанского городского округа на 2021 год и плановый период 2022 и 2023 годов».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 составляется в целях: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формирования основы для составления проекта бюджета Волчанского городского округа;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определения основных проблем развития городского округа и возможных путей их решения органами местного самоуправления для выработки экономической политики.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Прогноз составлен с учетом Сценарных условий функционирования экономики Российской Федерации, основных параметров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прогноза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социально-экономического развития Российской Федерации и Свердловской области на среднесрочный период, итогов социально-экономического развития Волчанского городского округа в 2019 году, 1полугодия и 9 месяцев 2020 года.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составлении Прогноза использовались данные производственных предприятий, учреждений и организаций, структур городского хозяйства, подразделений администрации Волчанского городского округа.</w:t>
      </w:r>
    </w:p>
    <w:p>
      <w:pPr>
        <w:pStyle w:val="ListParagraph"/>
        <w:tabs>
          <w:tab w:val="clear" w:pos="708"/>
          <w:tab w:val="left" w:pos="567" w:leader="none"/>
          <w:tab w:val="left" w:pos="851" w:leader="none"/>
          <w:tab w:val="left" w:pos="1215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Исходя из возможных изменений параметров внешней среды и эффективностью политики социально-экономического развития внутренней среды, можно говорить  о разработке сценариев экономического развития, основывающихся на двух вариантах событий: альтернативном и приоритетном, учитывающих демографические факторы, меры государственной политики, внешнеэкономический фон, внутренние темпы в отраслях экономики.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Разработка Прогноза осуществлялась на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Calibri" w:cs="Times New Roman" w:ascii="Times New Roman" w:hAnsi="Times New Roman"/>
          <w:sz w:val="28"/>
          <w:szCs w:val="28"/>
        </w:rPr>
        <w:t>приоритетном сценарии, который основан на повышении использования всех типов ресурсов на территории Волчанского городского округа. При этом возрастает роль инвестиционных факторов в экономическом развитии. Приоритетное внимание будет уделяться созданию благоприятных условий для осуществления хозяйственной деятельности, поддержке традиционных и перспективных видов экономической деятельности. Реализация сценария предполагает позитивные изменения в параметрах городской среды и вопросах территориального развития.</w:t>
      </w:r>
    </w:p>
    <w:p>
      <w:pPr>
        <w:pStyle w:val="ListParagraph"/>
        <w:tabs>
          <w:tab w:val="clear" w:pos="708"/>
          <w:tab w:val="left" w:pos="567" w:leader="none"/>
          <w:tab w:val="left" w:pos="851" w:leader="none"/>
          <w:tab w:val="left" w:pos="1215" w:leader="none"/>
        </w:tabs>
        <w:spacing w:lineRule="auto" w:line="240" w:before="0" w:after="0"/>
        <w:ind w:left="0" w:firstLine="709"/>
        <w:contextualSpacing/>
        <w:jc w:val="both"/>
        <w:rPr>
          <w:rStyle w:val="Appleconvertedspace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ConsPlusNormal"/>
        <w:numPr>
          <w:ilvl w:val="0"/>
          <w:numId w:val="0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ПРОИЗВОДСТВЕННАЯ ДЕЯТЕЛЬНОСТЬ</w:t>
      </w:r>
    </w:p>
    <w:p>
      <w:pPr>
        <w:pStyle w:val="ConsPlusNormal"/>
        <w:numPr>
          <w:ilvl w:val="0"/>
          <w:numId w:val="0"/>
        </w:numPr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ПРОМЫШЛЕННОЕ ПРОИЗВОДСТВО</w:t>
      </w:r>
    </w:p>
    <w:p>
      <w:pPr>
        <w:pStyle w:val="ConsPlusNormal"/>
        <w:numPr>
          <w:ilvl w:val="0"/>
          <w:numId w:val="0"/>
        </w:numPr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деятельности промышленного комплекса для формирования прогноза сделана на основании информации об основных производственных и экономических показателях, представленных предприятиями, расположенными на территории Волчанского городского округа, по итогам работы и прогнозным оценкам на перспективу.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Промышленные предприятия подразделяются по следующим основным видам экономической деятельности: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обрабатывающее производство;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электрической энергией, газом и паром.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2019 год крупные и средние промышленные предприятия округа выпустили продукции собственного производства на сумму 1003,2 миллионов рублей.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2019 году наблюдается рост объемов промышленного производства к уровню 2018 года на 17,6 процентов, который произошел в связи с ростом объемов выпускаемой продукции собственного производства на градообразующем предприятии Волчанском механическом заводе – филиале АО «НПК»Уралвагонзавод» и ростом объемов в сфере производства и распределения электроэнергии, газа и воды. 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2020 году в 1 полугодии также просматривается положительная динамика. Так, по итогам 1 полугодия 2020 года объем производства продукции собственного производства  составил 441,41 миллионов рублей, увеличившись на 1,5 % к аналогичному периоду 2019 года. Но по завершении текущего года предусмотрено падение, в связи с режимом неполной занятости, введенном на градообразующем предприятии и временным закрытием некоторых предприятий торговли, ввиду введения повышенной готовности и принятии дополнительных мер по защите населения от новой коронавирусной инфекции (2019-</w:t>
      </w:r>
      <w:r>
        <w:rPr>
          <w:rFonts w:cs="Times New Roman" w:ascii="Times New Roman" w:hAnsi="Times New Roman"/>
          <w:sz w:val="28"/>
          <w:szCs w:val="28"/>
          <w:lang w:val="en-US"/>
        </w:rPr>
        <w:t>nCoV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плановый период планируется небольшое увеличение оборота предприятий промышленности за счет начала работы в восстановленном режиме Волчанского механического завода – филиала акционерного общества «Научно-производственная корпорация «Уралвагонзавод».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СЕЛЬСКОЕ И ЛЕСНОЕ ХОЗЯЙСТВО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Волчанского городского округа сельское хозяйство представлено единственным сельскохозяйственным предприятием АО «Волчанское», а лесное – ООО «ЛСА Групп», ООО «Сосьва-лес». Территориально руководство ООО «ЛСА Групп» находится в г. Екатеринбурге, ООО «Сосьва-лес» в г. Серов, отчетность не проходит по Волчанскому городскому округу, но фактически продукция выпускается на нашей территории.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сельском хозяйстве АО «Волчанское»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по итогам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9 месяцев</w:t>
      </w:r>
      <w:r>
        <w:rPr>
          <w:rFonts w:eastAsia="Calibri" w:cs="Times New Roman" w:ascii="Times New Roman" w:hAnsi="Times New Roman"/>
          <w:sz w:val="28"/>
          <w:szCs w:val="28"/>
        </w:rPr>
        <w:t xml:space="preserve">  2020 года производство молока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выше</w:t>
      </w:r>
      <w:r>
        <w:rPr>
          <w:rFonts w:eastAsia="Calibri" w:cs="Times New Roman" w:ascii="Times New Roman" w:hAnsi="Times New Roman"/>
          <w:sz w:val="28"/>
          <w:szCs w:val="28"/>
        </w:rPr>
        <w:t xml:space="preserve"> уровня аналогичного периода 2019 года на 2,4 процента: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2027,6</w:t>
      </w:r>
      <w:r>
        <w:rPr>
          <w:rFonts w:eastAsia="Calibri" w:cs="Times New Roman" w:ascii="Times New Roman" w:hAnsi="Times New Roman"/>
          <w:sz w:val="28"/>
          <w:szCs w:val="28"/>
        </w:rPr>
        <w:t xml:space="preserve"> тонн, что составляет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6992</w:t>
      </w:r>
      <w:r>
        <w:rPr>
          <w:rFonts w:eastAsia="Calibri" w:cs="Times New Roman" w:ascii="Times New Roman" w:hAnsi="Times New Roman"/>
          <w:sz w:val="28"/>
          <w:szCs w:val="28"/>
        </w:rPr>
        <w:t xml:space="preserve"> кг на одну фуражную корову. Количество коров также на уровне прошлого года – 290 голов.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2020 году и в плановом периоде 2021-2023 годов ожидается небольшое увеличение оборотов сельского хозяйства.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МАЛЫЙ БИЗНЕС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Количество объектов торговли - 75, что на 5 объектов меньше уровня прошлого года. Из общего количества объектов 7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единицы составляют магазины 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процентов). 24 объекта бытового обслуживания 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процентов) оказывают следующие виды бытовых услуг: ремонт и пошив изделий, изготовление металлоизделий, техническое обслуживание и ремонт транспортных средств, изготовление и ремонт мебели, бани, парикмахерские и косметические услуги, фотоателье, ритуальные услуги.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Обеспеченность торговыми площадями на 1000 жителей –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696,0</w:t>
      </w:r>
      <w:r>
        <w:rPr>
          <w:rFonts w:ascii="Times New Roman" w:hAnsi="Times New Roman"/>
          <w:sz w:val="28"/>
          <w:szCs w:val="28"/>
        </w:rPr>
        <w:t xml:space="preserve"> кв. м., 2017 год - 667,44 кв. м., за 201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685,4</w:t>
      </w:r>
      <w:r>
        <w:rPr>
          <w:rFonts w:ascii="Times New Roman" w:hAnsi="Times New Roman"/>
          <w:sz w:val="28"/>
          <w:szCs w:val="28"/>
        </w:rPr>
        <w:t xml:space="preserve"> кв. м.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01.01.20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зарегистрировано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(97,6) субъекта в сфере малого предпринимательства, из них индивидуальных предпринимателей – 16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 (99,4)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На тысячу жителей Волчанского городского округа приходится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23,04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субъектов малого предпринимательства. Численность занятых в сфере малого и среднего предпринимательства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299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человек. Доля работников, занятых в малом и среднем бизнесе, в общей численности работников всех предприятий и организаций Волчанского городского округа по состоянию на 1 января 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составляла 8,4 %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Более семидесяти процентов субъектов малого предпринимательства участвуют в производственной деятельности, связанной с потребительским рынком.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год финансирование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подпрограммы «Развитие малого и среднего предпринимательства в Волчанском городском округе» муниципальной программы «Совершенствование социально-экономической политики на территории Волчанского городского округа до 2024 года» составило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712,866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тысячи рублей, а именно: 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Областной бюджет – 673,266 тысяч рублей;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Местный бюджет – 39,6 тысяч рублей.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2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Предоставлена субсидия одному субъекту малого и среднего предпринимательства, связанная с созданием и (или) развитием центров времяпровождения детей – групп дневного времяпровождения детей дошкольного возраста и иных подобных видов деятельности.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Финансирование программы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 2020 году</w:t>
      </w:r>
      <w:r>
        <w:rPr>
          <w:rFonts w:eastAsia="Calibri" w:cs="Times New Roman" w:ascii="Times New Roman" w:hAnsi="Times New Roman"/>
          <w:sz w:val="28"/>
          <w:szCs w:val="28"/>
        </w:rPr>
        <w:t xml:space="preserve">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440,0</w:t>
      </w:r>
      <w:r>
        <w:rPr>
          <w:rFonts w:eastAsia="Calibri" w:cs="Times New Roman" w:ascii="Times New Roman" w:hAnsi="Times New Roman"/>
          <w:sz w:val="28"/>
          <w:szCs w:val="28"/>
        </w:rPr>
        <w:t xml:space="preserve"> тысяч рублей за счет средств местного бюджета. Данные денежные средства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направлены</w:t>
      </w:r>
      <w:r>
        <w:rPr>
          <w:rFonts w:eastAsia="Calibri" w:cs="Times New Roman" w:ascii="Times New Roman" w:hAnsi="Times New Roman"/>
          <w:sz w:val="28"/>
          <w:szCs w:val="28"/>
        </w:rPr>
        <w:t xml:space="preserve"> на субсидию Волчанскому Фонду поддержки предпринимательства.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ИНВЕСТИЦИИ,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ИНВЕСТИЦИОННЫЕ ПЛОЩАДКИ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инвестиций за 201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год составил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592,664</w:t>
      </w:r>
      <w:r>
        <w:rPr>
          <w:rFonts w:cs="Times New Roman" w:ascii="Times New Roman" w:hAnsi="Times New Roman"/>
          <w:sz w:val="28"/>
          <w:szCs w:val="28"/>
        </w:rPr>
        <w:t xml:space="preserve"> млн. рублей 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 два раза</w:t>
      </w:r>
      <w:r>
        <w:rPr>
          <w:rFonts w:cs="Times New Roman" w:ascii="Times New Roman" w:hAnsi="Times New Roman"/>
          <w:sz w:val="28"/>
          <w:szCs w:val="28"/>
        </w:rPr>
        <w:t xml:space="preserve"> выше уровня 201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года).  </w:t>
      </w:r>
      <w:r>
        <w:rPr>
          <w:rFonts w:eastAsia="Times New Roman" w:cs="Times New Roman" w:ascii="Times New Roman" w:hAnsi="Times New Roman"/>
          <w:sz w:val="28"/>
          <w:szCs w:val="28"/>
        </w:rPr>
        <w:t>В сфере жилищно-коммунального хозяйства – финансирование блочно-модульных котельных, строительство станции биологической очистки хозяйственно-бытовых сточных вод, строительство многоквартирных жилых домов; в сфере благоустройства – благоустройство городского парка, дворовых территорий, капитальный ремонт МКД (замена кровель, ремонт фасадов); в сфере дорожного хозяйства – капитальный и текущий ремонт автомобильных дорог.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Объем инвестиций за 1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квартал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 составил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69,418</w:t>
      </w:r>
      <w:r>
        <w:rPr>
          <w:rFonts w:cs="Times New Roman" w:ascii="Times New Roman" w:hAnsi="Times New Roman"/>
          <w:sz w:val="28"/>
          <w:szCs w:val="28"/>
        </w:rPr>
        <w:t xml:space="preserve"> млн. рублей 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4,5 раза</w:t>
      </w:r>
      <w:r>
        <w:rPr>
          <w:rFonts w:cs="Times New Roman" w:ascii="Times New Roman" w:hAnsi="Times New Roman"/>
          <w:sz w:val="28"/>
          <w:szCs w:val="28"/>
        </w:rPr>
        <w:t xml:space="preserve"> к уровню 201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года).  В сфере жилищно-коммунального хозяйства – строительство станции биологической очистки хозяйственно-бытовых сточных вод, строительство многоквартирных жилых домов; в сфере благоустройства – благоустройство дворовых территорий,  в сфере дорожного хозяйства – капитальный и текущий ремонт автомобильных дорог.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результате вложения инвестиций за счет всех источников финансирования и реализации инвестиционных проектов, планируется создание и модернизация не менее 30 постоянных рабочих мест 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90</w:t>
      </w:r>
      <w:r>
        <w:rPr>
          <w:rFonts w:cs="Times New Roman" w:ascii="Times New Roman" w:hAnsi="Times New Roman"/>
          <w:sz w:val="28"/>
          <w:szCs w:val="28"/>
        </w:rPr>
        <w:t xml:space="preserve"> временных рабочих мест ежегодно.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РЫНОК ТОВАРОВ И УСЛУГ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Объем оборота розничной торговли за 201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 составил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780,3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млн. руб. (темп роста к уровню прошлого года составил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100,8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%). Оборот розничной торговли на душу населения составил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89004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рублей. Оборот организаций общественного питания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41,6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млн. рублей 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105,6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% к уровню аналогичного периода прошлого года).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оценке в 20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году объем розничного товарооборота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снизится</w:t>
      </w:r>
      <w:r>
        <w:rPr>
          <w:rFonts w:cs="Times New Roman" w:ascii="Times New Roman" w:hAnsi="Times New Roman"/>
          <w:sz w:val="28"/>
          <w:szCs w:val="28"/>
        </w:rPr>
        <w:t xml:space="preserve"> на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11,5</w:t>
      </w:r>
      <w:r>
        <w:rPr>
          <w:rFonts w:cs="Times New Roman" w:ascii="Times New Roman" w:hAnsi="Times New Roman"/>
          <w:sz w:val="28"/>
          <w:szCs w:val="28"/>
        </w:rPr>
        <w:t xml:space="preserve"> процентов по сравнению с 201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годом. В плановом периоде 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- 202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годах прогнозируются темпы роста объема розничного товарооборота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и восстановление рынка торговли и оказания услуг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ДЕМОГРАФИЧЕСКИЕ ПОКАЗАТЕЛИ, ТРУДОВЫЕ РЕСУРСЫ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Демографическая ситуация в городе характеризуется стабильным оттоком и старением населения. За последний период (с 2000 года)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численность постоянного населения Волчанского  городского округа в результате низкой рождаемости и миграционного оттока сократилась с 12,4 до 8,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767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тыс. человек (на 01.01.20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года); снижение составило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29,3,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% к уровню 2000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результате неблагоприятных демографических процессов численность  постоянного населения моложе трудоспособного возраста  сократилась до 1,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782</w:t>
      </w:r>
      <w:r>
        <w:rPr>
          <w:rFonts w:eastAsia="Calibri" w:cs="Times New Roman" w:ascii="Times New Roman" w:hAnsi="Times New Roman"/>
          <w:sz w:val="28"/>
          <w:szCs w:val="28"/>
        </w:rPr>
        <w:t xml:space="preserve"> тыс. чел. 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72,3</w:t>
      </w:r>
      <w:r>
        <w:rPr>
          <w:rFonts w:eastAsia="Calibri" w:cs="Times New Roman" w:ascii="Times New Roman" w:hAnsi="Times New Roman"/>
          <w:sz w:val="28"/>
          <w:szCs w:val="28"/>
        </w:rPr>
        <w:t xml:space="preserve"> % к уровню 2000 года), что составляет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20,3</w:t>
      </w:r>
      <w:r>
        <w:rPr>
          <w:rFonts w:eastAsia="Calibri" w:cs="Times New Roman" w:ascii="Times New Roman" w:hAnsi="Times New Roman"/>
          <w:sz w:val="28"/>
          <w:szCs w:val="28"/>
        </w:rPr>
        <w:t xml:space="preserve"> % в общей численности населения города (в 2000 году на долю  населения моложе трудоспособного возраста приходилось  20,2 % общей численности постоянного населения).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этом продолжает снижаться доля лиц  трудоспособного возраста в общей численности населения, в 201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году этот показатель составил  -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50,0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% (снижение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1,1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процентов к уровню предыдущего года или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человек). Одновременно увеличивается доля населения старше трудоспособного возраста – до 29,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% в 201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году, что в 1,3 раза выше уровня 2000 года 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увеличение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населения старше трудоспособного возраста 201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 201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1,5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процента или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человек).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Соответственно, сохраняется достаточно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высокая демографическая нагрузка на трудоспособное население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коэффициент демографической нагрузки по итогам 201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составил 0,9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что в 1,7 раз выше уровня 2000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По-прежнему определяющим фактором демографического развития Волчанского городского округа в 201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году оставалась естественная убыль населения. Превышение числа умерших над числом родившихся в 201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году составило 1,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раза, за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 xml:space="preserve">1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полугодие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 xml:space="preserve"> 2020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года –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1,8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раза.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В 2019 году, впервые, за период ведения статистики по миграционному движению с 2009 года, наблюдается положительная динамика миграционных процессов: прибыло в Волчанский городской округ на 5 человек больше, чем выбыло.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В 1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полугодии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2020 года сложившаяся в 2019 году динамика продолжается: прибыло на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39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человек больше, чем выбыло.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Население Волчанского городского округа пополняется мигрантами из стран ближнего зарубежья, в первую очередь из Казахстана, Таджикистана и Азербайджана. Так же возвращению на «малую родину»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поспособствовала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сложившаяся ситуация на рынке труда в условиях пандемии.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Ожидаемая среднегодовая численность населения в 20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году - 87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человек. В 2021 — 2023 годах останется прежняя ситуация по превышению смертности над рождаемостью, планируется небольшое выравнивание положения за счет государственной поддержки многодетных семей и социальных выплат на рождение второго и последующих детей. Изменение миграционного сальдо планируется </w:t>
      </w:r>
      <w:r>
        <w:rPr>
          <w:rFonts w:cs="Times New Roman" w:ascii="Times New Roman" w:hAnsi="Times New Roman"/>
          <w:sz w:val="28"/>
          <w:szCs w:val="28"/>
        </w:rPr>
        <w:t>в положительную сторону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РЫНОК ТРУДА, ЗАНЯТОСТЬ НАСЕЛЕНИЯ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Последние годы   политика содействия эффективной занятости была направлена на обеспечение баланса спроса и предложения на рынке труда, повышение производительности труда, вовлечение безработных в общественное производство. Рынок труда  представляют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1995</w:t>
      </w:r>
      <w:r>
        <w:rPr>
          <w:rFonts w:eastAsia="Calibri" w:cs="Times New Roman" w:ascii="Times New Roman" w:hAnsi="Times New Roman"/>
          <w:sz w:val="28"/>
          <w:szCs w:val="28"/>
        </w:rPr>
        <w:t xml:space="preserve"> человек,  занятых в экономике, на 01.01.20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года (без субъектов СМП).   По 1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полугодию</w:t>
      </w:r>
      <w:r>
        <w:rPr>
          <w:rFonts w:eastAsia="Calibri" w:cs="Times New Roman" w:ascii="Times New Roman" w:hAnsi="Times New Roman"/>
          <w:sz w:val="28"/>
          <w:szCs w:val="28"/>
        </w:rPr>
        <w:t xml:space="preserve"> 2020 года эта цифра составляет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1955</w:t>
      </w:r>
      <w:r>
        <w:rPr>
          <w:rFonts w:eastAsia="Calibri" w:cs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Уровень регистрируемой безработицы за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10</w:t>
      </w:r>
      <w:r>
        <w:rPr>
          <w:rFonts w:eastAsia="Calibri" w:cs="Times New Roman" w:ascii="Times New Roman" w:hAnsi="Times New Roman"/>
          <w:sz w:val="28"/>
          <w:szCs w:val="28"/>
        </w:rPr>
        <w:t xml:space="preserve"> месяцев 20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года, по отношению к экономически активному населению фактически сложился,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7,14</w:t>
      </w:r>
      <w:r>
        <w:rPr>
          <w:rFonts w:eastAsia="Calibri" w:cs="Times New Roman" w:ascii="Times New Roman" w:hAnsi="Times New Roman"/>
          <w:sz w:val="28"/>
          <w:szCs w:val="28"/>
        </w:rPr>
        <w:t xml:space="preserve"> % или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314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официально зарегистрированных безработных граждан  (в 2014 году – 2,6 % или 154 человека; в 2015 году – 3,6 % или 211 человек; в 2016 году – 2,8 % или 164 человека; в 2017 году – 1,74 % или 103 человека; в 2018 году – 2,32 % или 102 человека; в 2019 году — 2,09 % или 92 человека). </w:t>
      </w:r>
      <w:r>
        <w:rPr>
          <w:rFonts w:eastAsia="Calibri" w:cs="Times New Roman" w:ascii="Times New Roman" w:hAnsi="Times New Roman"/>
          <w:sz w:val="28"/>
          <w:szCs w:val="28"/>
        </w:rPr>
        <w:t>Увеличение количества зарегистрированных произошло в связи с упрощением процедуры постановки на учет безработных граждан и дистанционным контролем.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данным статистики</w:t>
      </w:r>
      <w:r>
        <w:rPr>
          <w:rFonts w:cs="Times New Roman" w:ascii="Times New Roman" w:hAnsi="Times New Roman"/>
          <w:sz w:val="28"/>
          <w:szCs w:val="28"/>
        </w:rPr>
        <w:t xml:space="preserve"> численность занятых во всех сферах экономики городского округа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 полугодии 2020 года</w:t>
      </w:r>
      <w:r>
        <w:rPr>
          <w:rFonts w:cs="Times New Roman" w:ascii="Times New Roman" w:hAnsi="Times New Roman"/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>1955</w:t>
      </w:r>
      <w:r>
        <w:rPr>
          <w:rFonts w:cs="Times New Roman" w:ascii="Times New Roman" w:hAnsi="Times New Roman"/>
          <w:sz w:val="28"/>
          <w:szCs w:val="28"/>
        </w:rPr>
        <w:t xml:space="preserve"> человек (без субъектов СПМ), из нее в промышленном секторе экономики было занято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874</w:t>
      </w:r>
      <w:r>
        <w:rPr>
          <w:rFonts w:cs="Times New Roman" w:ascii="Times New Roman" w:hAnsi="Times New Roman"/>
          <w:sz w:val="28"/>
          <w:szCs w:val="28"/>
        </w:rPr>
        <w:t xml:space="preserve"> человек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, в сфере ЖКХ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143</w:t>
      </w:r>
      <w:r>
        <w:rPr>
          <w:rFonts w:cs="Times New Roman" w:ascii="Times New Roman" w:hAnsi="Times New Roman"/>
          <w:sz w:val="28"/>
          <w:szCs w:val="28"/>
        </w:rPr>
        <w:t xml:space="preserve"> человека; в бюджетной сфере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782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человека.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В 20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наблюдается снижение</w:t>
      </w:r>
      <w:r>
        <w:rPr>
          <w:rFonts w:cs="Times New Roman" w:ascii="Times New Roman" w:hAnsi="Times New Roman"/>
          <w:sz w:val="28"/>
          <w:szCs w:val="28"/>
        </w:rPr>
        <w:t xml:space="preserve"> среднегодовой численности занятых в экономике.  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2023 году, при условии восстановления экономики Волчанского городского округа, планируется увеличение среднегодовой численности занятых в экономике Волчанского городского округа до 20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человек.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ДЕНЕЖНЫЕ ДОХОДЫ НАСЕЛЕНИЯ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Исходя из динамики развития экономики городского округа на 2021 - 2023 годы, были спрогнозированы темпы роста заработной платы работающих и доходов населения городского округа.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Расчет фонда оплаты труда по городскому округу произведен на основании показателей предприятий и организаций Волчанского городского округа, участвующих в прогнозах и расчетных показателей по оплате труда, прочих субъектов предпринимательской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Среднемесячная зарплата  одного работника за  201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  в целом по городу составила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26355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рублей,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104,5</w:t>
      </w:r>
      <w:r>
        <w:rPr>
          <w:rFonts w:eastAsia="Calibri" w:cs="Times New Roman" w:ascii="Times New Roman" w:hAnsi="Times New Roman"/>
          <w:sz w:val="28"/>
          <w:szCs w:val="28"/>
        </w:rPr>
        <w:t xml:space="preserve"> % - к уровню прошлого периода. Заработная плата по крупным и средним предприятиям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32211,3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рублей, темп роста к 201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году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процентов, до 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года планируется увеличение данного показателя на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17,2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процентов к уровню 201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года, пока темп роста задает Волчанский механический завод.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Величина прожиточного минимума на душу населения на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квартал 20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года составляла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11860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рублей в месяц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для трудоспособного населения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. Среднемесячная заработная плата по полному кругу организаций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 9 месяцев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20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года составила –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29802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рубл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. Среднемесячная заработная плата по полному кругу организаций в Волчанском городском округе превышает прожиточный минимум в 2,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5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раза. 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расчете среднедушевых доходов населения в месяц учтены доходы, состоящие из заработной платы, прочих облагаемых доходов, а также доходов в виде трудовых пенсий пособий и других выплат, начисление налогов по которым не производится.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Среднемесячные доходы на душу населения Волчанского городского округа в 201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году увеличились на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6,2</w:t>
      </w:r>
      <w:r>
        <w:rPr>
          <w:rFonts w:eastAsia="Calibri" w:cs="Times New Roman" w:ascii="Times New Roman" w:hAnsi="Times New Roman"/>
          <w:sz w:val="28"/>
          <w:szCs w:val="28"/>
        </w:rPr>
        <w:t xml:space="preserve"> % к уровню 201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года и составили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18547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рублей. Увеличился фонд оплаты труда на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1,9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процентов или на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14,389</w:t>
      </w:r>
      <w:r>
        <w:rPr>
          <w:rFonts w:eastAsia="Calibri" w:cs="Times New Roman" w:ascii="Times New Roman" w:hAnsi="Times New Roman"/>
          <w:sz w:val="28"/>
          <w:szCs w:val="28"/>
        </w:rPr>
        <w:t xml:space="preserve"> млн. рублей.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году ожидается, что размер  среднедушевых доходов населения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останется на уровне 2019 года</w:t>
      </w:r>
      <w:r>
        <w:rPr>
          <w:rFonts w:cs="Times New Roman" w:ascii="Times New Roman" w:hAnsi="Times New Roman"/>
          <w:sz w:val="28"/>
          <w:szCs w:val="28"/>
        </w:rPr>
        <w:t xml:space="preserve">. По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9 месяцам</w:t>
      </w:r>
      <w:r>
        <w:rPr>
          <w:rFonts w:cs="Times New Roman" w:ascii="Times New Roman" w:hAnsi="Times New Roman"/>
          <w:sz w:val="28"/>
          <w:szCs w:val="28"/>
        </w:rPr>
        <w:t xml:space="preserve"> текущего года наблюдается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снижение</w:t>
      </w:r>
      <w:r>
        <w:rPr>
          <w:rFonts w:cs="Times New Roman" w:ascii="Times New Roman" w:hAnsi="Times New Roman"/>
          <w:sz w:val="28"/>
          <w:szCs w:val="28"/>
        </w:rPr>
        <w:t xml:space="preserve"> фонда оплаты труда к аналогичному периоду прошлого года на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2,6</w:t>
      </w:r>
      <w:r>
        <w:rPr>
          <w:rFonts w:cs="Times New Roman" w:ascii="Times New Roman" w:hAnsi="Times New Roman"/>
          <w:sz w:val="28"/>
          <w:szCs w:val="28"/>
        </w:rPr>
        <w:t xml:space="preserve"> процент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перспективе (202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- 2023 годах) ожидается рост доходов населения, в основном за счет роста зарплаты и социальных трансфертов. Рост социальных трансфертов будет обусловлен индексацией пенсионных выплат и пособий населению. К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году планируется увеличить показатель на 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>,0 процентов к оценочному уровню 20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года. 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используемых сокращений:</w:t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млн. руб. – миллионов рублей;</w:t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округ;</w:t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кв. м. – квадратных метров;</w:t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руб./чел. – рублей на человека;</w:t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т.ч. – в том числе;</w:t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тыс. м² - тысяч метров квадратных;</w:t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% - процентов;</w:t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АО – акционерное общество;</w:t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ЖКХ – жилищно-коммунальное хозяйство;</w:t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СМП – субъекты малого и среднего предпринимательства.</w:t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11"/>
      <w:type w:val="nextPage"/>
      <w:pgSz w:w="11906" w:h="16838"/>
      <w:pgMar w:left="1418" w:right="851" w:header="72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10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d211d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styleId="2">
    <w:name w:val="Heading 2"/>
    <w:basedOn w:val="Normal"/>
    <w:next w:val="Normal"/>
    <w:link w:val="20"/>
    <w:qFormat/>
    <w:rsid w:val="000d211d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d211d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0d211d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0d211d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822c19"/>
    <w:rPr/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ce5ab3"/>
    <w:rPr/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ce5ab3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ca224a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ca224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b/>
      <w:bCs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ca224a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Cell" w:customStyle="1">
    <w:name w:val="ConsPlusCell"/>
    <w:uiPriority w:val="99"/>
    <w:qFormat/>
    <w:rsid w:val="00ca224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d21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340"/>
    <w:pPr>
      <w:spacing w:lineRule="auto" w:line="259" w:before="0" w:after="16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ce5a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ce5a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4695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53D41C753ED986B9D018B5F9AFAF44EF300AC637B8BCEDC085242562AIBf0I" TargetMode="External"/><Relationship Id="rId4" Type="http://schemas.openxmlformats.org/officeDocument/2006/relationships/hyperlink" Target="consultantplus://offline/ref=153D41C753ED986B9D0195528C96AA44F30AF56A7A84C18D5D0D190B7DB9319E0E0E3D3A33D29213967B89I4f8I" TargetMode="External"/><Relationship Id="rId5" Type="http://schemas.openxmlformats.org/officeDocument/2006/relationships/hyperlink" Target="consultantplus://offline/ref=153D41C753ED986B9D0195528C96AA44F30AF56A7A84C18D5D0D190B7DB9319E0E0E3D3A33D29213967B8FI4fFI" TargetMode="External"/><Relationship Id="rId6" Type="http://schemas.openxmlformats.org/officeDocument/2006/relationships/hyperlink" Target="consultantplus://offline/ref=153D41C753ED986B9D0195528C96AA44F30AF56A7A84C18D5D0D190B7DB9319E0E0E3D3A33D29213967B89I4f8I" TargetMode="External"/><Relationship Id="rId7" Type="http://schemas.openxmlformats.org/officeDocument/2006/relationships/hyperlink" Target="consultantplus://offline/ref=AFC58EDFF321851AE429BD0FAC1FF44B068AE88937533A3B0CA2D460B6B32E128F31FDC6CA12D084F98D03m6cAI" TargetMode="External"/><Relationship Id="rId8" Type="http://schemas.openxmlformats.org/officeDocument/2006/relationships/hyperlink" Target="consultantplus://offline/ref=AFC58EDFF321851AE429A302BA73AA410680B180365C356A59FD8F3DE1mBcAI" TargetMode="External"/><Relationship Id="rId9" Type="http://schemas.openxmlformats.org/officeDocument/2006/relationships/hyperlink" Target="consultantplus://offline/ref=AFC58EDFF321851AE429A302BA73AA410083B080350D626808A881m3c8I" TargetMode="External"/><Relationship Id="rId10" Type="http://schemas.openxmlformats.org/officeDocument/2006/relationships/hyperlink" Target="consultantplus://offline/ref=AFC58EDFF321851AE429BD0FAC1FF44B068AE88937533A3B0CA2D460B6B32E128F31FDC6CA12D084F98D03m6cAI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7240-0720-414D-B4C1-7CDAF21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6224</TotalTime>
  <Application>LibreOffice/6.4.5.2$Windows_X86_64 LibreOffice_project/a726b36747cf2001e06b58ad5db1aa3a9a1872d6</Application>
  <Pages>14</Pages>
  <Words>3063</Words>
  <Characters>20319</Characters>
  <CharactersWithSpaces>24064</CharactersWithSpaces>
  <Paragraphs>435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2012-07-03T08:29:00Z</dcterms:created>
  <dc:creator>Экономический</dc:creator>
  <dc:description/>
  <dc:language>ru-RU</dc:language>
  <cp:lastModifiedBy/>
  <cp:lastPrinted>2020-11-12T12:10:42Z</cp:lastPrinted>
  <dcterms:modified xsi:type="dcterms:W3CDTF">2020-11-12T12:10:53Z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