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left="5670" w:hanging="0"/>
        <w:rPr>
          <w:color w:val="000000"/>
          <w:sz w:val="28"/>
          <w:szCs w:val="28"/>
        </w:rPr>
      </w:pPr>
      <w:r>
        <w:rPr>
          <w:color w:val="000000"/>
          <w:sz w:val="28"/>
          <w:szCs w:val="28"/>
        </w:rPr>
        <w:t>УТВЕРЖДЕН</w:t>
        <w:br/>
        <w:t>протоколом заседания</w:t>
        <w:br/>
      </w:r>
      <w:r>
        <w:rPr>
          <w:sz w:val="28"/>
          <w:szCs w:val="28"/>
        </w:rPr>
        <w:t>Координационного совета по инвестициям и развитию предпринимательства при главе Волчанского городского округа</w:t>
      </w:r>
      <w:r>
        <w:rPr>
          <w:color w:val="000000"/>
          <w:sz w:val="28"/>
          <w:szCs w:val="28"/>
        </w:rPr>
        <w:br/>
        <w:t xml:space="preserve">от </w:t>
      </w:r>
      <w:r>
        <w:rPr>
          <w:rFonts w:eastAsia="Times New Roman" w:cs="Times New Roman"/>
          <w:color w:val="000000"/>
          <w:kern w:val="0"/>
          <w:sz w:val="28"/>
          <w:szCs w:val="28"/>
          <w:lang w:val="ru-RU" w:eastAsia="ru-RU" w:bidi="ar-SA"/>
        </w:rPr>
        <w:t>22 марта 2021</w:t>
      </w:r>
      <w:r>
        <w:rPr>
          <w:color w:val="000000"/>
          <w:sz w:val="28"/>
          <w:szCs w:val="28"/>
        </w:rPr>
        <w:t xml:space="preserve"> года № </w:t>
      </w:r>
      <w:r>
        <w:rPr>
          <w:color w:val="000000"/>
          <w:sz w:val="28"/>
          <w:szCs w:val="28"/>
        </w:rPr>
        <w:t>1</w:t>
      </w:r>
    </w:p>
    <w:p>
      <w:pPr>
        <w:pStyle w:val="NormalWeb"/>
        <w:spacing w:beforeAutospacing="0" w:before="0" w:afterAutospacing="0" w:after="0"/>
        <w:ind w:left="5670" w:hanging="0"/>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t>Доклад об организации системы внутреннего обеспечения соответствия деятельности органов местного самоуправления Волчанского городского округа требованиям антимонопольного законодательства</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t>В целях реализации Национального плана развития конкуренции в Российской Федерации на 2018-2020 годы, главой Волчанского городского округа принято постановление от 05 сентября 2019 г. № 333 «Об утверждении Положения об организации в органах местного самоуправления Волчанского городского округа системы внутреннего обеспечения соответствия требованиям антимонопольного законодательства (антимонопольного комплаенса)».</w:t>
      </w:r>
    </w:p>
    <w:p>
      <w:pPr>
        <w:pStyle w:val="NormalWeb"/>
        <w:spacing w:beforeAutospacing="0" w:before="0" w:afterAutospacing="0" w:after="0"/>
        <w:ind w:firstLine="709"/>
        <w:jc w:val="both"/>
        <w:rPr>
          <w:color w:val="000000"/>
          <w:sz w:val="28"/>
          <w:szCs w:val="28"/>
        </w:rPr>
      </w:pPr>
      <w:r>
        <w:rPr>
          <w:color w:val="000000"/>
          <w:sz w:val="28"/>
          <w:szCs w:val="28"/>
        </w:rPr>
        <w:t>Осуществлено ознакомление работников органов местного самоуправления Волчанского городского округа и подведомственных учреждений с Положением о об организации в органах местного самоуправления Волчанского городского округа системы внутреннего обеспечения соответствия требованиям антимонопольного законодательства (антимонопольного комплаенса). Ведется работа по внесению в должностные инструкции работников дополнений в части соблюдения требований о знании и изучении антимонопольного законодательства, а так же о мерах ответственности за его нарушение. Положением об антимонопольном комплаенсе распределены функции уполномоченного подразделения, связанные с организацией и функционированием антимонопольного комплаенса. Коллегиальным органом, осуществляющим оценку организации и эффективности функционирования антимонопольного комплаенса, определен Координационный совет по инвестициям и развитию предпринимательства при главе Волчанского городского округа. На официальном сайте Волчанского городского округа во вкладке «Антимонопольный комлаенс» размещаются все рабочие документы. Уполномоченным подразделением совместно со структурными подразделениями администрации и органами местного самоуправления Волчанского городского округа, деятельность которых связана с исполнением антимонопольного законодательства, были разработаны в соответствии с Положением об антимонопольном комплаенсе следующие документы:</w:t>
        <w:br/>
        <w:t>1. Проведено выявление рисков нарушения антимонопольного законодательства, которые могут возникнуть при реализации установленных функций и полномочий органа местного самоуправления в соответствии с Национальным планом развития конкуренции в Российской Федерации на 2018-2020 годы. Сюда входит предоставление преференций, разработка нормативно правовых актов, осуществление закупок товаров, услуг для муниципальных нужд, проведение проверок расходования бюджетных средств, разработка муниципальных программ и т.д.</w:t>
        <w:br/>
        <w:t>2. Разработана карта комплаенс-рисков нарушения антимонопольного законодательства  органов местного самоуправления Волчанского городского округа. Данные риски распределены по уровням: высокий, существенный, незначительный, низкий. Составлено описание указанных рисков, в которое также включается оценка причин и условий их возникновения.</w:t>
        <w:br/>
        <w:t xml:space="preserve">3. В целях снижения данных рисков нарушения антимонопольного законодательства </w:t>
      </w:r>
      <w:r>
        <w:rPr>
          <w:rFonts w:eastAsia="Times New Roman" w:cs="Times New Roman"/>
          <w:color w:val="000000"/>
          <w:kern w:val="0"/>
          <w:sz w:val="28"/>
          <w:szCs w:val="28"/>
          <w:lang w:val="ru-RU" w:eastAsia="ru-RU" w:bidi="ar-SA"/>
        </w:rPr>
        <w:t>утвержден</w:t>
      </w:r>
      <w:r>
        <w:rPr>
          <w:color w:val="000000"/>
          <w:sz w:val="28"/>
          <w:szCs w:val="28"/>
        </w:rPr>
        <w:t xml:space="preserve"> План мероприятий («дорожная карта») по снижению комплаенс – рисков в органах местного самоуправления Волчанского городского округа. Сюда включены такие мероприятия как: изучение нормативных правовых актов, соблюдение действующего законодательства, обучение работников органов местного самоуправления Волчанского городского округа по вопросам антикоррупционного законодательства, анализ допущенных нарушений, проведение антикоррупционной экспертизы НПА, контроль за соблюдением сроков оказания муниципальных услуг.</w:t>
        <w:br/>
        <w:t>4. Оценка эффективности функционирования антимонопольного комплаенса и расчет ключевых показателей эффективности функционирования антимонопольного комплаенса проводится в соответствии с перечнем ключевых показателей, утвержденным постановлением главы Волчанского городского округа от 05.09.2019 года № 333. Информация о достижении ключевых показателей по итогам работы за 2020 год:</w:t>
      </w:r>
    </w:p>
    <w:tbl>
      <w:tblPr>
        <w:tblW w:w="9735" w:type="dxa"/>
        <w:jc w:val="left"/>
        <w:tblInd w:w="0" w:type="dxa"/>
        <w:tblCellMar>
          <w:top w:w="90" w:type="dxa"/>
          <w:left w:w="90" w:type="dxa"/>
          <w:bottom w:w="90" w:type="dxa"/>
          <w:right w:w="90" w:type="dxa"/>
        </w:tblCellMar>
        <w:tblLook w:val="04a0"/>
      </w:tblPr>
      <w:tblGrid>
        <w:gridCol w:w="493"/>
        <w:gridCol w:w="5837"/>
        <w:gridCol w:w="1755"/>
        <w:gridCol w:w="1650"/>
      </w:tblGrid>
      <w:tr>
        <w:trPr>
          <w:trHeight w:val="1185" w:hRule="atLeast"/>
        </w:trPr>
        <w:tc>
          <w:tcPr>
            <w:tcW w:w="49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Cs/>
                <w:sz w:val="24"/>
                <w:szCs w:val="24"/>
              </w:rPr>
              <w:t>№</w:t>
            </w:r>
          </w:p>
        </w:tc>
        <w:tc>
          <w:tcPr>
            <w:tcW w:w="58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Наименование показателя</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Cs/>
                <w:sz w:val="24"/>
                <w:szCs w:val="24"/>
              </w:rPr>
              <w:t>Рекомендуемое</w:t>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значение показателя</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Исполнение показателя за 2020 год</w:t>
            </w:r>
          </w:p>
        </w:tc>
      </w:tr>
      <w:tr>
        <w:trPr/>
        <w:tc>
          <w:tcPr>
            <w:tcW w:w="49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c>
          <w:tcPr>
            <w:tcW w:w="58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Доля устраненных нарушений в общем числе выявленных нарушений антимонопольного законодательства,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Нарушения отсутствовали</w:t>
            </w:r>
          </w:p>
        </w:tc>
      </w:tr>
      <w:tr>
        <w:trPr/>
        <w:tc>
          <w:tcPr>
            <w:tcW w:w="49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2</w:t>
            </w:r>
          </w:p>
        </w:tc>
        <w:tc>
          <w:tcPr>
            <w:tcW w:w="58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Нарушения отсутствовали</w:t>
            </w:r>
          </w:p>
        </w:tc>
      </w:tr>
      <w:tr>
        <w:trPr/>
        <w:tc>
          <w:tcPr>
            <w:tcW w:w="49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3</w:t>
            </w:r>
          </w:p>
        </w:tc>
        <w:tc>
          <w:tcPr>
            <w:tcW w:w="58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Отношение количества закупок, осуществленных с нарушениями, к общему количеству проверенных закупок,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49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4</w:t>
            </w:r>
          </w:p>
        </w:tc>
        <w:tc>
          <w:tcPr>
            <w:tcW w:w="58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Количество лиц, привлеченных к административной ответственности по вновь введенным статьям КоАП Российской Федерации, человек</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49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5</w:t>
            </w:r>
          </w:p>
        </w:tc>
        <w:tc>
          <w:tcPr>
            <w:tcW w:w="58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Доля закупок (в стоимостном выражении) товаров, работ, услуг у СМП в общем ежегодном объеме закупок (в стоимостном выражении) юр. лиц, являющихся заказчиками в соответствии с Федеральным законом «О закупках товаров, работ, услуг отдельными видами юридических лиц»,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не менее 15</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16,4</w:t>
            </w:r>
          </w:p>
        </w:tc>
      </w:tr>
      <w:tr>
        <w:trPr/>
        <w:tc>
          <w:tcPr>
            <w:tcW w:w="49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6</w:t>
            </w:r>
          </w:p>
        </w:tc>
        <w:tc>
          <w:tcPr>
            <w:tcW w:w="5837"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Доля закупок, совершенных с нарушениями, в общем числе закупок, %</w:t>
            </w:r>
          </w:p>
        </w:tc>
        <w:tc>
          <w:tcPr>
            <w:tcW w:w="1755" w:type="dxa"/>
            <w:tcBorders>
              <w:top w:val="outset" w:sz="6" w:space="0" w:color="000000"/>
              <w:left w:val="outset" w:sz="6" w:space="0" w:color="000000"/>
              <w:bottom w:val="outset" w:sz="6" w:space="0" w:color="000000"/>
            </w:tcBorders>
            <w:shd w:color="auto" w:fill="FFFFFF" w:val="clear"/>
            <w:vAlign w:val="center"/>
          </w:tcPr>
          <w:p>
            <w:pPr>
              <w:pStyle w:val="NormalWeb"/>
              <w:spacing w:lineRule="auto" w:line="240" w:before="0" w:after="0"/>
              <w:jc w:val="center"/>
              <w:rPr>
                <w:rFonts w:ascii="Times New Roman" w:hAnsi="Times New Roman"/>
                <w:sz w:val="24"/>
                <w:szCs w:val="24"/>
              </w:rPr>
            </w:pPr>
            <w:r>
              <w:rPr>
                <w:rFonts w:ascii="Times New Roman" w:hAnsi="Times New Roman"/>
                <w:sz w:val="24"/>
                <w:szCs w:val="24"/>
              </w:rPr>
              <w:t>0</w:t>
            </w:r>
          </w:p>
        </w:tc>
        <w:tc>
          <w:tcPr>
            <w:tcW w:w="165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Web"/>
              <w:spacing w:lineRule="auto" w:line="240" w:before="0" w:after="0"/>
              <w:jc w:val="center"/>
              <w:rPr>
                <w:rFonts w:ascii="Times New Roman" w:hAnsi="Times New Roman"/>
                <w:sz w:val="24"/>
                <w:szCs w:val="24"/>
              </w:rPr>
            </w:pPr>
            <w:r>
              <w:rPr>
                <w:rFonts w:ascii="Times New Roman" w:hAnsi="Times New Roman"/>
                <w:sz w:val="24"/>
                <w:szCs w:val="24"/>
              </w:rPr>
              <w:t>0</w:t>
            </w:r>
          </w:p>
        </w:tc>
      </w:tr>
    </w:tbl>
    <w:p>
      <w:pPr>
        <w:pStyle w:val="NormalWeb"/>
        <w:spacing w:beforeAutospacing="0" w:before="0" w:afterAutospacing="0" w:after="0"/>
        <w:ind w:firstLine="709"/>
        <w:jc w:val="both"/>
        <w:rPr>
          <w:color w:val="000000"/>
          <w:sz w:val="28"/>
          <w:szCs w:val="28"/>
        </w:rPr>
      </w:pPr>
      <w:r>
        <w:rPr>
          <w:color w:val="000000"/>
          <w:sz w:val="28"/>
          <w:szCs w:val="28"/>
        </w:rPr>
        <w:br/>
        <w:t>Анализ практики применения антимонопольного законодательства в 20</w:t>
      </w:r>
      <w:r>
        <w:rPr>
          <w:rFonts w:eastAsia="Times New Roman" w:cs="Times New Roman"/>
          <w:color w:val="000000"/>
          <w:kern w:val="0"/>
          <w:sz w:val="28"/>
          <w:szCs w:val="28"/>
          <w:lang w:val="ru-RU" w:eastAsia="ru-RU" w:bidi="ar-SA"/>
        </w:rPr>
        <w:t>20</w:t>
      </w:r>
      <w:r>
        <w:rPr>
          <w:color w:val="000000"/>
          <w:sz w:val="28"/>
          <w:szCs w:val="28"/>
        </w:rPr>
        <w:t xml:space="preserve"> году показал, что нарушений требований антимонопольного законодательства за не выявлено. </w:t>
      </w:r>
    </w:p>
    <w:p>
      <w:pPr>
        <w:pStyle w:val="NormalWeb"/>
        <w:spacing w:beforeAutospacing="0" w:before="0" w:afterAutospacing="0" w:after="0"/>
        <w:ind w:firstLine="709"/>
        <w:jc w:val="both"/>
        <w:rPr>
          <w:color w:val="000000"/>
          <w:sz w:val="28"/>
          <w:szCs w:val="28"/>
        </w:rPr>
      </w:pPr>
      <w:r>
        <w:rPr>
          <w:color w:val="000000"/>
          <w:sz w:val="28"/>
          <w:szCs w:val="28"/>
        </w:rPr>
        <w:t>По информации, предоставленной органами местного самоуправления Волчанского городского округа предостережений, предупреждений, штрафов, жалоб, возбужденных уголовных дел за нарушение антимонопольного законодательства не имеется.</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городского округа</w:t>
        <w:tab/>
        <w:tab/>
        <w:tab/>
        <w:tab/>
        <w:tab/>
        <w:tab/>
        <w:tab/>
        <w:t xml:space="preserve">   А.В. Веврейн</w:t>
      </w:r>
    </w:p>
    <w:p>
      <w:pPr>
        <w:pStyle w:val="Normal"/>
        <w:spacing w:lineRule="auto" w:line="240" w:before="0" w:after="0"/>
        <w:rPr>
          <w:rFonts w:ascii="Times New Roman" w:hAnsi="Times New Roman"/>
          <w:sz w:val="28"/>
          <w:szCs w:val="28"/>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2b4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b74fc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LibreOffice/6.4.5.2$Windows_X86_64 LibreOffice_project/a726b36747cf2001e06b58ad5db1aa3a9a1872d6</Application>
  <Pages>3</Pages>
  <Words>617</Words>
  <Characters>4891</Characters>
  <CharactersWithSpaces>5485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2020-05-19T07:53:00Z</dcterms:created>
  <dc:creator>Экономический отдел</dc:creator>
  <dc:description/>
  <dc:language>ru-RU</dc:language>
  <cp:lastModifiedBy/>
  <cp:lastPrinted>2021-03-31T17:14:44Z</cp:lastPrinted>
  <dcterms:modified xsi:type="dcterms:W3CDTF">2021-03-31T17:17:27Z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