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409" w:leader="none"/>
          <w:tab w:val="center" w:pos="4818"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ab/>
        <w:tab/>
      </w:r>
      <w:r>
        <w:rPr/>
        <w:drawing>
          <wp:inline distT="0" distB="0" distL="0" distR="0">
            <wp:extent cx="371475" cy="5905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71475" cy="590550"/>
                    </a:xfrm>
                    <a:prstGeom prst="rect">
                      <a:avLst/>
                    </a:prstGeom>
                  </pic:spPr>
                </pic:pic>
              </a:graphicData>
            </a:graphic>
          </wp:inline>
        </w:drawing>
      </w:r>
    </w:p>
    <w:p>
      <w:pPr>
        <w:pStyle w:val="Normal"/>
        <w:keepNext w:val="true"/>
        <w:numPr>
          <w:ilvl w:val="0"/>
          <w:numId w:val="0"/>
        </w:numPr>
        <w:spacing w:lineRule="auto" w:line="240" w:before="0" w:after="0"/>
        <w:ind w:left="0" w:hanging="0"/>
        <w:jc w:val="center"/>
        <w:outlineLvl w:val="1"/>
        <w:rPr>
          <w:rFonts w:ascii="Times New Roman" w:hAnsi="Times New Roman" w:eastAsia="Times New Roman" w:cs="Times New Roman"/>
          <w:bCs/>
          <w:i/>
          <w:i/>
          <w:iCs/>
          <w:color w:val="333333"/>
          <w:sz w:val="16"/>
          <w:szCs w:val="16"/>
          <w:lang w:eastAsia="ru-RU"/>
        </w:rPr>
      </w:pPr>
      <w:r>
        <w:rPr>
          <w:rFonts w:eastAsia="Times New Roman" w:cs="Times New Roman" w:ascii="Times New Roman" w:hAnsi="Times New Roman"/>
          <w:color w:val="333333"/>
          <w:sz w:val="24"/>
          <w:szCs w:val="24"/>
          <w:lang w:eastAsia="ru-RU"/>
        </w:rPr>
        <w:t xml:space="preserve"> </w:t>
      </w:r>
    </w:p>
    <w:p>
      <w:pPr>
        <w:pStyle w:val="Normal"/>
        <w:keepNext w:val="true"/>
        <w:numPr>
          <w:ilvl w:val="0"/>
          <w:numId w:val="0"/>
        </w:numPr>
        <w:spacing w:lineRule="auto" w:line="240" w:before="0" w:after="0"/>
        <w:ind w:left="0" w:hanging="0"/>
        <w:jc w:val="center"/>
        <w:outlineLvl w:val="1"/>
        <w:rPr>
          <w:rFonts w:ascii="Times New Roman" w:hAnsi="Times New Roman" w:eastAsia="Times New Roman" w:cs="Times New Roman"/>
          <w:bCs/>
          <w:i/>
          <w:i/>
          <w:iCs/>
          <w:sz w:val="24"/>
          <w:szCs w:val="24"/>
          <w:lang w:eastAsia="ru-RU"/>
        </w:rPr>
      </w:pPr>
      <w:r>
        <w:rPr>
          <w:rFonts w:eastAsia="Times New Roman" w:cs="Times New Roman" w:ascii="Times New Roman" w:hAnsi="Times New Roman"/>
          <w:sz w:val="24"/>
          <w:szCs w:val="24"/>
          <w:lang w:eastAsia="ru-RU"/>
        </w:rPr>
        <w:t>Свердловская область</w:t>
      </w:r>
    </w:p>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keepNext w:val="true"/>
        <w:numPr>
          <w:ilvl w:val="0"/>
          <w:numId w:val="0"/>
        </w:numPr>
        <w:spacing w:lineRule="auto" w:line="240" w:before="0" w:after="0"/>
        <w:ind w:left="0" w:hanging="0"/>
        <w:jc w:val="center"/>
        <w:outlineLvl w:val="1"/>
        <w:rPr>
          <w:rFonts w:ascii="Times New Roman" w:hAnsi="Times New Roman" w:eastAsia="Times New Roman" w:cs="Times New Roman"/>
          <w:b/>
          <w:b/>
          <w:i/>
          <w:i/>
          <w:iCs/>
          <w:sz w:val="24"/>
          <w:szCs w:val="24"/>
          <w:lang w:eastAsia="ru-RU"/>
        </w:rPr>
      </w:pPr>
      <w:r>
        <w:rPr>
          <w:rFonts w:eastAsia="Times New Roman" w:cs="Times New Roman" w:ascii="Times New Roman" w:hAnsi="Times New Roman"/>
          <w:b/>
          <w:sz w:val="24"/>
          <w:szCs w:val="24"/>
          <w:lang w:eastAsia="ru-RU"/>
        </w:rPr>
        <w:t>ГЛАВА ВОЛЧАНСКОГО ГОРОДСКОГО ОКРУГА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caps/>
          <w:spacing w:val="160"/>
          <w:sz w:val="36"/>
          <w:szCs w:val="36"/>
          <w:lang w:eastAsia="ru-RU"/>
        </w:rPr>
      </w:pPr>
      <w:r>
        <w:rPr>
          <w:rFonts w:eastAsia="Times New Roman" w:cs="Times New Roman" w:ascii="Times New Roman" w:hAnsi="Times New Roman"/>
          <w:caps/>
          <w:spacing w:val="160"/>
          <w:sz w:val="36"/>
          <w:szCs w:val="36"/>
          <w:lang w:eastAsia="ru-RU"/>
        </w:rPr>
        <w:t>Постановление</w:t>
      </w:r>
    </w:p>
    <w:p>
      <w:pPr>
        <w:pStyle w:val="Normal"/>
        <w:numPr>
          <w:ilvl w:val="0"/>
          <w:numId w:val="0"/>
        </w:numPr>
        <w:spacing w:lineRule="auto" w:line="240" w:before="0" w:after="0"/>
        <w:ind w:left="0" w:hanging="0"/>
        <w:jc w:val="center"/>
        <w:outlineLvl w:val="0"/>
        <w:rPr>
          <w:sz w:val="24"/>
          <w:szCs w:val="24"/>
        </w:rPr>
      </w:pPr>
      <w:r>
        <w:rPr>
          <w:sz w:val="24"/>
          <w:szCs w:val="24"/>
        </w:rPr>
      </w:r>
    </w:p>
    <w:p>
      <w:pPr>
        <w:pStyle w:val="Normal"/>
        <w:numPr>
          <w:ilvl w:val="0"/>
          <w:numId w:val="0"/>
        </w:numPr>
        <w:spacing w:lineRule="auto" w:line="240" w:before="0" w:after="0"/>
        <w:ind w:left="0" w:hanging="0"/>
        <w:jc w:val="center"/>
        <w:outlineLvl w:val="0"/>
        <w:rPr>
          <w:sz w:val="24"/>
          <w:szCs w:val="24"/>
        </w:rPr>
      </w:pPr>
      <w:r>
        <w:rPr>
          <w:sz w:val="24"/>
          <w:szCs w:val="24"/>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13.12.2023 год      </w:t>
        <w:tab/>
        <w:t xml:space="preserve">                     </w:t>
        <w:tab/>
        <w:t xml:space="preserve">                                                        № 617</w:t>
      </w:r>
    </w:p>
    <w:p>
      <w:pPr>
        <w:pStyle w:val="Normal"/>
        <w:spacing w:lineRule="auto" w:line="240" w:before="0" w:after="0"/>
        <w:ind w:firstLine="709"/>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г. Волчанск</w:t>
      </w:r>
    </w:p>
    <w:p>
      <w:pPr>
        <w:pStyle w:val="Normal"/>
        <w:spacing w:lineRule="auto" w:line="240" w:before="0" w:after="0"/>
        <w:ind w:firstLine="709"/>
        <w:jc w:val="center"/>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bCs/>
          <w:i/>
          <w:i/>
          <w:sz w:val="28"/>
          <w:szCs w:val="28"/>
          <w:lang w:eastAsia="ru-RU"/>
        </w:rPr>
      </w:pPr>
      <w:r>
        <w:rPr>
          <w:rFonts w:eastAsia="Times New Roman" w:cs="Times New Roman" w:ascii="Times New Roman" w:hAnsi="Times New Roman"/>
          <w:b/>
          <w:bCs/>
          <w:i/>
          <w:sz w:val="28"/>
          <w:szCs w:val="28"/>
          <w:lang w:eastAsia="ru-RU"/>
        </w:rPr>
        <w:t xml:space="preserve">О внесении изменений в  </w:t>
      </w:r>
      <w:r>
        <w:rPr>
          <w:rFonts w:eastAsia="Times New Roman" w:cs="Times New Roman" w:ascii="Times New Roman" w:hAnsi="Times New Roman"/>
          <w:b/>
          <w:bCs/>
          <w:i/>
          <w:sz w:val="28"/>
          <w:szCs w:val="28"/>
          <w:lang w:val="ru-RU" w:eastAsia="ru-RU"/>
        </w:rPr>
        <w:t>Порядок определения  средней рыночной стоимости одного квадратного метра общей площади жилых помещений для обеспечения жильем отдельных категорий граждан, сложившейся на территории Волчанского городского округа</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со статьей 17 Федерального закона от 06.10.2003 года     № 131-ФЗ «Об общих принципах организации местного самоуправления в Российской Федерации», руководствуясь приказом Министерства строительства и развития инфраструктуры Свердловской области от 27.11.2015 </w:t>
      </w:r>
      <w:r>
        <w:rPr>
          <w:rFonts w:cs="Times New Roman" w:ascii="Times New Roman" w:hAnsi="Times New Roman"/>
          <w:sz w:val="28"/>
          <w:szCs w:val="28"/>
        </w:rPr>
        <w:t>года</w:t>
      </w:r>
      <w:r>
        <w:rPr>
          <w:rFonts w:cs="Times New Roman" w:ascii="Times New Roman" w:hAnsi="Times New Roman"/>
          <w:sz w:val="28"/>
          <w:szCs w:val="28"/>
        </w:rPr>
        <w:t xml:space="preserve">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с изменениями  от 23.05.2016 года № 331-П, от 14.05.2021 года № 299-П, от 30.06.2021 года         № 388-П, от 30.09.2021 года № 553-П, Уставом Волчанского городского округа,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b/>
          <w:b/>
          <w:sz w:val="28"/>
          <w:szCs w:val="28"/>
        </w:rPr>
      </w:pPr>
      <w:r>
        <w:rPr>
          <w:rFonts w:cs="Times New Roman" w:ascii="Times New Roman" w:hAnsi="Times New Roman"/>
          <w:b/>
          <w:sz w:val="28"/>
          <w:szCs w:val="28"/>
        </w:rPr>
        <w:t>ПОСТАНОВЛЯЮ: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 </w:t>
      </w:r>
      <w:r>
        <w:rPr>
          <w:rFonts w:cs="Times New Roman" w:ascii="Times New Roman" w:hAnsi="Times New Roman"/>
          <w:sz w:val="28"/>
          <w:szCs w:val="28"/>
          <w:lang w:val="ru-RU"/>
        </w:rPr>
        <w:t>Внести в Порядок определения средней рыночной стоимости одного квадратного метра общей площади жилых</w:t>
      </w:r>
      <w:r>
        <w:rPr>
          <w:rFonts w:cs="Times New Roman" w:ascii="Times New Roman" w:hAnsi="Times New Roman"/>
          <w:sz w:val="28"/>
          <w:szCs w:val="28"/>
        </w:rPr>
        <w:t xml:space="preserve"> помещений для обеспечения жильем отдельных категорий граждан, сложившейся на территории Волчанского городского округа, утвержденный постановлением главы Волчанского городского округа от 19.03.2018 года № 107 «Об утверждении Порядка </w:t>
      </w:r>
      <w:r>
        <w:rPr>
          <w:rFonts w:cs="Times New Roman" w:ascii="Times New Roman" w:hAnsi="Times New Roman"/>
          <w:sz w:val="28"/>
          <w:szCs w:val="28"/>
          <w:lang w:val="ru-RU"/>
        </w:rPr>
        <w:t>определения средней рыночной стоимости одного квадратного метра общей площади жилых</w:t>
      </w:r>
      <w:r>
        <w:rPr>
          <w:rFonts w:cs="Times New Roman" w:ascii="Times New Roman" w:hAnsi="Times New Roman"/>
          <w:sz w:val="28"/>
          <w:szCs w:val="28"/>
        </w:rPr>
        <w:t xml:space="preserve"> помещений для обеспечения жильем отдельных категорий граждан, сложившейся на территории Волчанского городского округа» с изменениями от 10.01.2022 года № 5 следующие изменения:</w:t>
      </w:r>
    </w:p>
    <w:p>
      <w:pPr>
        <w:pStyle w:val="ConsPlusNormal"/>
        <w:ind w:firstLine="709"/>
        <w:jc w:val="both"/>
        <w:rPr>
          <w:rFonts w:ascii="Times New Roman" w:hAnsi="Times New Roman"/>
        </w:rPr>
      </w:pPr>
      <w:r>
        <w:rPr>
          <w:rFonts w:cs="Times New Roman" w:ascii="Times New Roman" w:hAnsi="Times New Roman"/>
          <w:sz w:val="28"/>
          <w:szCs w:val="28"/>
        </w:rPr>
        <w:t xml:space="preserve">1.1. Раздел 5. </w:t>
      </w:r>
      <w:r>
        <w:rPr>
          <w:rFonts w:eastAsia="Times New Roman" w:cs="Times New Roman" w:ascii="Times New Roman" w:hAnsi="Times New Roman"/>
          <w:sz w:val="28"/>
          <w:szCs w:val="28"/>
          <w:lang w:eastAsia="ru-RU"/>
        </w:rPr>
        <w:t xml:space="preserve"> </w:t>
      </w:r>
      <w:r>
        <w:rPr>
          <w:rFonts w:eastAsia="Times New Roman" w:cs="Liberation Serif" w:ascii="Times New Roman" w:hAnsi="Times New Roman"/>
          <w:sz w:val="28"/>
          <w:szCs w:val="28"/>
          <w:lang w:eastAsia="ru-RU"/>
        </w:rPr>
        <w:t>дополнить пунктом 5.3. следующего содержания:</w:t>
      </w:r>
    </w:p>
    <w:p>
      <w:pPr>
        <w:pStyle w:val="ConsPlusNormal"/>
        <w:ind w:firstLine="709"/>
        <w:jc w:val="both"/>
        <w:rPr>
          <w:rFonts w:ascii="Times New Roman" w:hAnsi="Times New Roman"/>
        </w:rPr>
      </w:pPr>
      <w:r>
        <w:rPr>
          <w:rFonts w:eastAsia="Times New Roman" w:cs="Liberation Serif" w:ascii="Times New Roman" w:hAnsi="Times New Roman"/>
          <w:sz w:val="28"/>
          <w:szCs w:val="28"/>
          <w:lang w:eastAsia="ru-RU"/>
        </w:rPr>
        <w:t>«5.3. Копия постановления главы Волчанского городского округа  на планируемый квартал направляется в Г</w:t>
      </w:r>
      <w:r>
        <w:rPr>
          <w:rFonts w:eastAsia="Times New Roman" w:cs="Liberation Serif" w:ascii="Times New Roman" w:hAnsi="Times New Roman"/>
          <w:sz w:val="28"/>
          <w:szCs w:val="28"/>
          <w:lang w:eastAsia="ru-RU"/>
        </w:rPr>
        <w:t>осударственное казенное учреждение</w:t>
      </w:r>
      <w:r>
        <w:rPr>
          <w:rFonts w:eastAsia="Times New Roman" w:cs="Liberation Serif" w:ascii="Times New Roman" w:hAnsi="Times New Roman"/>
          <w:sz w:val="28"/>
          <w:szCs w:val="28"/>
          <w:lang w:eastAsia="ru-RU"/>
        </w:rPr>
        <w:t xml:space="preserve"> </w:t>
      </w:r>
      <w:r>
        <w:rPr>
          <w:rFonts w:eastAsia="Times New Roman" w:cs="Liberation Serif" w:ascii="Times New Roman" w:hAnsi="Times New Roman"/>
          <w:sz w:val="28"/>
          <w:szCs w:val="28"/>
          <w:lang w:eastAsia="ru-RU"/>
        </w:rPr>
        <w:t>Свердловской области</w:t>
      </w:r>
      <w:r>
        <w:rPr>
          <w:rFonts w:eastAsia="Times New Roman" w:cs="Liberation Serif" w:ascii="Times New Roman" w:hAnsi="Times New Roman"/>
          <w:sz w:val="28"/>
          <w:szCs w:val="28"/>
          <w:lang w:eastAsia="ru-RU"/>
        </w:rPr>
        <w:t xml:space="preserve"> «Фонд жилищного строительства» в соответствии с официальным запросом. К постановлению прикладываются расчеты и документы, подтверждающие получение исходных данных».</w:t>
      </w:r>
    </w:p>
    <w:p>
      <w:pPr>
        <w:pStyle w:val="ConsPlusNormal"/>
        <w:ind w:firstLine="709"/>
        <w:jc w:val="both"/>
        <w:rPr>
          <w:rFonts w:ascii="Times New Roman" w:hAnsi="Times New Roman"/>
        </w:rPr>
      </w:pPr>
      <w:r>
        <w:rPr>
          <w:rFonts w:cs="Times New Roman" w:ascii="Times New Roman" w:hAnsi="Times New Roman"/>
          <w:sz w:val="28"/>
          <w:szCs w:val="28"/>
        </w:rPr>
        <w:t>2. Настоящее постановление разместить на официальном сайте Волчанского городского округа http://volchansk-adm.ru/.</w:t>
      </w:r>
    </w:p>
    <w:p>
      <w:pPr>
        <w:pStyle w:val="ConsPlusNormal"/>
        <w:ind w:firstLine="709"/>
        <w:jc w:val="both"/>
        <w:rPr>
          <w:rFonts w:ascii="Times New Roman" w:hAnsi="Times New Roman"/>
        </w:rPr>
      </w:pPr>
      <w:r>
        <w:rPr>
          <w:rFonts w:cs="Times New Roman" w:ascii="Times New Roman" w:hAnsi="Times New Roman"/>
          <w:sz w:val="28"/>
          <w:szCs w:val="28"/>
        </w:rPr>
        <w:t>3.  Контроль за исполнением настоящего постановления оставляю за собой.</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t>Исполняющий обязанности</w:t>
      </w:r>
    </w:p>
    <w:p>
      <w:pPr>
        <w:pStyle w:val="ConsPlusNormal"/>
        <w:rPr>
          <w:rFonts w:ascii="Times New Roman" w:hAnsi="Times New Roman" w:cs="Times New Roman"/>
          <w:sz w:val="28"/>
          <w:szCs w:val="28"/>
        </w:rPr>
      </w:pPr>
      <w:r>
        <w:rPr>
          <w:rFonts w:cs="Times New Roman" w:ascii="Times New Roman" w:hAnsi="Times New Roman"/>
          <w:sz w:val="28"/>
          <w:szCs w:val="28"/>
        </w:rPr>
        <w:t>главы городского округа</w:t>
        <w:tab/>
        <w:tab/>
        <w:tab/>
        <w:tab/>
        <w:tab/>
        <w:tab/>
        <w:t xml:space="preserve">    О.В.Адельфинская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220" w:after="0"/>
        <w:ind w:firstLine="540"/>
        <w:jc w:val="both"/>
        <w:rPr/>
      </w:pPr>
      <w:r>
        <w:rPr/>
      </w:r>
    </w:p>
    <w:sectPr>
      <w:type w:val="nextPage"/>
      <w:pgSz w:w="11906" w:h="16838"/>
      <w:pgMar w:left="1418"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2fe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8f2fe1"/>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ConsPlusNormal" w:customStyle="1">
    <w:name w:val="ConsPlusNormal"/>
    <w:qFormat/>
    <w:rsid w:val="008c10ed"/>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qFormat/>
    <w:rsid w:val="008c10ed"/>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TitlePage" w:customStyle="1">
    <w:name w:val="ConsPlusTitlePage"/>
    <w:qFormat/>
    <w:rsid w:val="008c10ed"/>
    <w:pPr>
      <w:widowControl w:val="false"/>
      <w:suppressAutoHyphens w:val="tru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BalloonText">
    <w:name w:val="Balloon Text"/>
    <w:basedOn w:val="Normal"/>
    <w:link w:val="a4"/>
    <w:uiPriority w:val="99"/>
    <w:semiHidden/>
    <w:unhideWhenUsed/>
    <w:qFormat/>
    <w:rsid w:val="008f2fe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Application>LibreOffice/7.1.7.2$Windows_X86_64 LibreOffice_project/c6a4e3954236145e2acb0b65f68614365aeee33f</Application>
  <AppVersion>15.0000</AppVersion>
  <Pages>2</Pages>
  <Words>278</Words>
  <Characters>2055</Characters>
  <CharactersWithSpaces>2434</CharactersWithSpaces>
  <Paragraphs>17</Paragraphs>
  <Company>ВГО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2018-03-29T11:32:00Z</dcterms:created>
  <dc:creator>алёна</dc:creator>
  <dc:description/>
  <dc:language>ru-RU</dc:language>
  <cp:lastModifiedBy/>
  <cp:lastPrinted>2024-01-25T16:06:52Z</cp:lastPrinted>
  <dcterms:modified xsi:type="dcterms:W3CDTF">2024-01-25T16:06:48Z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