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17.08.2020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331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20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i/>
          <w:sz w:val="28"/>
          <w:szCs w:val="28"/>
        </w:rPr>
        <w:t>21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августа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2020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Плана организации и проведения ярмарок на территории Волчанского городского округа в 2020  году, утвержденного постановлением главы Волчанского городского округа от 23.12.2019 года № 526 </w:t>
      </w:r>
      <w:r>
        <w:rPr>
          <w:rFonts w:cs="Times New Roman" w:ascii="Times New Roman" w:hAnsi="Times New Roman"/>
          <w:sz w:val="28"/>
          <w:szCs w:val="28"/>
        </w:rPr>
        <w:t>(с изменениями от 29.04.2020 № 179; от 23.06.2020 № 253; от 07.07.2020 № 266; от 10.08.2020   № 313)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улица Уральского Комсомола, 2 (Приложение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17.08.2020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г. № </w:t>
      </w:r>
      <w:r>
        <w:rPr>
          <w:rFonts w:eastAsia="Times New Roman" w:cs="Times New Roman" w:ascii="Times New Roman" w:hAnsi="Times New Roman"/>
          <w:sz w:val="28"/>
          <w:szCs w:val="28"/>
        </w:rPr>
        <w:t>331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АВГУСТА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по местному времени в южной части города по адресу: город Волчанск, улица уральского комсомола, 2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649605</wp:posOffset>
            </wp:positionH>
            <wp:positionV relativeFrom="paragraph">
              <wp:posOffset>191135</wp:posOffset>
            </wp:positionV>
            <wp:extent cx="4651375" cy="4611370"/>
            <wp:effectExtent l="0" t="0" r="0" b="0"/>
            <wp:wrapTight wrapText="bothSides">
              <wp:wrapPolygon edited="0">
                <wp:start x="-15" y="0"/>
                <wp:lineTo x="-15" y="21472"/>
                <wp:lineTo x="21488" y="21472"/>
                <wp:lineTo x="21488" y="0"/>
                <wp:lineTo x="-15" y="0"/>
              </wp:wrapPolygon>
            </wp:wrapTight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913" t="9139" r="29755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</w:rPr>
        <w:t>17.08.2020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331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21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августа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77230" cy="47447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230" cy="4744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4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4.9pt;height:373.6pt;mso-wrap-distance-left:9pt;mso-wrap-distance-right:9pt;mso-wrap-distance-top:0pt;mso-wrap-distance-bottom:0pt;margin-top:2.5pt;mso-position-vertical-relative:text;margin-left:11.2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5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LibreOffice/6.4.5.2$Windows_X86_64 LibreOffice_project/a726b36747cf2001e06b58ad5db1aa3a9a1872d6</Application>
  <Pages>4</Pages>
  <Words>360</Words>
  <Characters>2278</Characters>
  <CharactersWithSpaces>2754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2020-08-19T12:58:48Z</cp:lastPrinted>
  <dcterms:modified xsi:type="dcterms:W3CDTF">2020-08-19T12:59:00Z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