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И ОБЕСПЕЧЕНИЕ СОХРАННОСТИ СЕТИ АВТОМОБИЛЬНЫХ ДОРОГ НА ТЕРРИТОРИИ ВОЛЧАНСКОГО ГОРОДСКОГО ОКРУГА НА 2019-2024 ГОДЫ»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И ОБЕСПЕЧЕНИЕ СОХРАННОСТИ СЕТИ АВТОМОБИЛЬНЫХ ДОРОГ НА ТЕРРИТОРИИ ВОЛЧАНСКОГО ГОРОДСКОГО ОКРУГА НА 2019-2024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685"/>
        <w:gridCol w:w="2748"/>
        <w:gridCol w:w="1225"/>
        <w:gridCol w:w="797"/>
        <w:gridCol w:w="795"/>
        <w:gridCol w:w="1395"/>
        <w:gridCol w:w="1993"/>
      </w:tblGrid>
      <w:tr>
        <w:trPr>
          <w:tblHeader w:val="true"/>
          <w:trHeight w:val="800" w:hRule="atLeast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1" w:hRule="atLeast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1. Развитие современной и эффективной транспортной инфраструктуры</w:t>
            </w:r>
          </w:p>
        </w:tc>
      </w:tr>
      <w:tr>
        <w:trPr>
          <w:trHeight w:val="600" w:hRule="atLeast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Разработка проектно-сметной документации на реконструкцию, капитальный ремонт автомобильных дорог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проектов на реконструкцию, капитальный ремонт автомобильных дорог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Совершенствование улично-дорожной сети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от общей протяженности автомобильных дорог общего пользования местного значения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69.5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улучшен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пешеходных переходов вблизи образовательных организаций, обустроенных в соответствии с требованиями национальных стандартов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2.     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    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>
        <w:trPr>
          <w:trHeight w:val="400" w:hRule="atLeast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выполнены работы по реконструкции, капитальному ремонту и ремонту, от общей протяженности автомобильных дорог общего пользования местного значения, подлежащих капитальному ремонту и ремонту в соответствии с нормативной потребностью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   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>
        <w:trPr>
          <w:trHeight w:val="400" w:hRule="atLeast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Барабанова Н.В., директор муниципального казенного учреждения «Управление городского хозяйства» 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И ОБЕСПЕЧЕНИЕ СОХРАННОСТИ СЕТИ АВТОМОБИЛЬНЫХ ДОРОГ НА ТЕРРИТОРИИ ВОЛЧАНСКОГО ГОРОДСКОГО ОКРУГА НА 2019-2024 ГОДЫ»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778"/>
        <w:gridCol w:w="2330"/>
        <w:gridCol w:w="1396"/>
        <w:gridCol w:w="1284"/>
        <w:gridCol w:w="1237"/>
        <w:gridCol w:w="1244"/>
        <w:gridCol w:w="1369"/>
      </w:tblGrid>
      <w:tr>
        <w:trPr>
          <w:tblHeader w:val="true"/>
          <w:trHeight w:val="1200" w:hRule="atLeast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 (годы)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0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 xml:space="preserve">в том числе:    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149253,98801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144 938,166</w:t>
            </w: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76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97,11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89253,700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85482,85480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95,77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60000,28801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59455,31196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99,09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 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 Капитальный ремонт и реконструкция автомобильных дорог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36344,68085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36242,6696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99,72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34273,700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34 171,68875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99,70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2070,98085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2070,98085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3. Ремонт автомобильных дорог и искусственных сооружений, расположенных на них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107311,5022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103106,49</w:t>
            </w: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716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96,08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54980,000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51311,16605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93,33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52331,50220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51795,33111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98,98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4. Комплекс работ по содержанию автомобильных дорог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5597,80496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5589,00000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99,84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5597,80496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5589,00000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465A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465A4"/>
                <w:sz w:val="18"/>
                <w:szCs w:val="18"/>
              </w:rPr>
              <w:t>99,84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Мероприятие 5.Паспортизация автомобильных дорог, разработка проектов организации дорожного движения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Барабанова Н.В.,  директор муниципального казенного учреждения «Управление городского хозяйства» 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ОЦЕНКА ЭФФЕКТИВНОСТИ РЕАЛИЗАЦИИ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МУНИЦИПАЛЬНОЙ ПРОГРАММЫ 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РАЗВИТИЕ И ОБЕСПЕЧЕНИЕ СОХРАННОСТИ СЕТИ АВТОМОБИЛЬНЫХ ДОРОГ НА ТЕРРИТОРИИ ВОЛЧАНСКОГО ГОРОДСКОГО ОКРУГА НА 2019-2024 ГОДЫ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686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3685"/>
        <w:gridCol w:w="6000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    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0,97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                   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0,5 &lt;= Q1 &lt; 0,98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олное финансирование           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714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3619"/>
        <w:gridCol w:w="6094"/>
      </w:tblGrid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Q2    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0,92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              </w:t>
            </w:r>
          </w:p>
        </w:tc>
      </w:tr>
      <w:tr>
        <w:trPr/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Оценка муниципальной программы – 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>. Приемлемый      уровень         эффективности   муниципальной   программы. Необходим       более глубокий анализ причин отклонений от плана. Возможен пересмотр      муниципальной  программы  в части корректировки целевых показателей     и/или  выделения дополнительного финансирования.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ПОЯСНИТЕЛЬНАЯ ЗАПИСКА К ОТЧЕТУ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РЕАЛИЗАЦИИ МУНИЦИПАЛЬНОЙ ПРОГРАММЫ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ВОЛЧАНСКОГО ГОРОДСКОГО ОКРУГА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РАЗВИТИЕ И ОБЕСПЕЧЕНИЕ СОХРАННОСТИ СЕТИ АВТОМОБИЛЬНЫХ ДОРОГ НА ТЕРРИТОРИИ ВОЛЧАНСКОГО ГОРОДСКОГО ОКРУГА НА 2019-2024 ГОДЫ</w:t>
      </w:r>
      <w:r>
        <w:rPr>
          <w:rFonts w:eastAsia="Times New Roman" w:cs="Times New Roman"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Основой дорожного хозяйства Волчанского городского округа является сеть автомобильных дорог общего пользования с твердым покрытием. Согласно утвержденному перечню и проведенной технической инвентаризации общая  протяженность автомобильных дорог общего пользования на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конец </w:t>
      </w:r>
      <w:r>
        <w:rPr>
          <w:rFonts w:eastAsia="Times New Roman" w:cs="Times New Roman" w:ascii="Times New Roman" w:hAnsi="Times New Roman"/>
          <w:sz w:val="27"/>
          <w:szCs w:val="27"/>
        </w:rPr>
        <w:t>2022 года составляет 1</w:t>
      </w:r>
      <w:r>
        <w:rPr>
          <w:rFonts w:eastAsia="Times New Roman" w:cs="Times New Roman" w:ascii="Times New Roman" w:hAnsi="Times New Roman"/>
          <w:sz w:val="27"/>
          <w:szCs w:val="27"/>
        </w:rPr>
        <w:t>08,2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км.  Проводится определенная работа по постановке на учет всех автомобильных дорог общего пользования на территории Волчанского городского округа. В 2022 году протяженность автомобильных дорог общего пользования, не отвечающих нормативным требованиям составила </w:t>
      </w:r>
      <w:r>
        <w:rPr>
          <w:rFonts w:eastAsia="Times New Roman" w:cs="Times New Roman" w:ascii="Times New Roman" w:hAnsi="Times New Roman"/>
          <w:sz w:val="27"/>
          <w:szCs w:val="27"/>
        </w:rPr>
        <w:t>10,8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км или </w:t>
      </w:r>
      <w:r>
        <w:rPr>
          <w:rFonts w:eastAsia="Times New Roman" w:cs="Times New Roman" w:ascii="Times New Roman" w:hAnsi="Times New Roman"/>
          <w:sz w:val="27"/>
          <w:szCs w:val="27"/>
        </w:rPr>
        <w:t>10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% от общей протяженности автомобильных дорог общего пользования местного значения. </w:t>
      </w:r>
    </w:p>
    <w:p>
      <w:pPr>
        <w:pStyle w:val="Normal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Мероприятия по развитию и обеспечению сохранности автомобильных дорог Волчанского городского округа включили:</w:t>
      </w:r>
    </w:p>
    <w:p>
      <w:pPr>
        <w:pStyle w:val="Normal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-  расчистка дорог от снега — 3000,0 т.р.;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капитальный ремонт автомобильной дороги по ул. Почтовая (протяжённость планируемого полотна – 1,32987 км)  36 242,6696 т.р. (в том числе 34 171,68875 т.р. за счёт областного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  ремонт автомобильной дороги по ул. Карпинского (нижний слой)  (0,886 км)  17 766,6852 т. р. за счёт местного бюджета,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 ремонт автомобильной дороги по ул. Карпинского  (0,886 км)                 23 335,10126 т. р. ( в том числе 22 167,83296 т. р. за счёт областного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- ремонт автомобильной дороги по ул. Краснотурьинская (0,638 км) </w:t>
      </w:r>
    </w:p>
    <w:p>
      <w:pPr>
        <w:pStyle w:val="ConsPlusNonformat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11 853,23977 т. р. (в том числе 11 201,56477  за счёт областного  бюджета);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ремонт автомобильной дороги по ул. Краснотурьинская (нижний слой) (0,638 км) 12 298,0908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ремонт автомобильной дороги  ул. Талицкая (0,8 км) 9 635,347                                                                                                              т. р. (в том числе 8 812,33689 т. р. за счёт областного бюджета);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ремонт автомобильной дороги к СТ Радуга и СТ Транспортник (участок №4)  (0,86 км) 9 376,53366 т. р.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ремонт автомобильной дороги по ул. Школьная (0,256 км) 4 402,3356 т. р.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ремонт автомобильной дороги по ул. Первомайская (участок №3)  (0,638 км) 4 021,842 т. р.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покупка дорожных лотков, решёток  и др. строительных дорожных материалов 6 381,62778 т. р.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транспортные услуги     2 615,966  т. р.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исправление профиля дорожных покрытий 2 500,00 т.р.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 приобретение дорожных знаков 89,00 т. р. За счёт местного бюджета;</w:t>
      </w:r>
    </w:p>
    <w:p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устройство лотков по ул. Социалистическая и по ул. Комсомольская  1 419,72809 т. р. за счёт местного бюджета.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200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7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56077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56077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LibreOffice/7.1.7.2$Windows_X86_64 LibreOffice_project/c6a4e3954236145e2acb0b65f68614365aeee33f</Application>
  <AppVersion>15.0000</AppVersion>
  <Pages>7</Pages>
  <Words>1047</Words>
  <Characters>7017</Characters>
  <CharactersWithSpaces>8238</CharactersWithSpaces>
  <Paragraphs>218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2023-05-30T09:51:00Z</dcterms:created>
  <dc:creator>Пользователь</dc:creator>
  <dc:description/>
  <dc:language>ru-RU</dc:language>
  <cp:lastModifiedBy/>
  <cp:lastPrinted>2023-05-31T10:17:12Z</cp:lastPrinted>
  <dcterms:modified xsi:type="dcterms:W3CDTF">2023-05-31T10:18:51Z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