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E55AAC">
              <w:rPr>
                <w:rFonts w:ascii="Times New Roman" w:hAnsi="Times New Roman" w:cs="Times New Roman"/>
                <w:sz w:val="28"/>
                <w:szCs w:val="28"/>
              </w:rPr>
              <w:t>Порядка определения средней рыночной стоимости одного квадратного метра общей площади жилых помещений</w:t>
            </w:r>
            <w:proofErr w:type="gramEnd"/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жильем отдельных категорий граждан, сложившейся на территории Волчанского городского округа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E55AAC" w:rsidP="00533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E55AAC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Начальник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2E8C" w:rsidRPr="005F684B" w:rsidRDefault="000C553D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E55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E55AAC" w:rsidRPr="00E55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E55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="00533143"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="00E55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="00533143"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533143"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органов местного самоуправления.</w:t>
            </w:r>
          </w:p>
          <w:p w:rsidR="00BD7C08" w:rsidRPr="005F684B" w:rsidRDefault="00BD7C08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определением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>средней рыночной стоимости одного квадратного метра общей площади жилых помещений для обеспечения жильем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граждан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определенной степени регулирующего воздействия: проект акта не содержит положения, устанавливающие ранее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E55A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E55AAC" w:rsidRDefault="00533143" w:rsidP="00E55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E55AAC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E55AAC" w:rsidRDefault="00E55AAC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экономического отдела администрации Волчанского городского округа</w:t>
            </w:r>
          </w:p>
          <w:p w:rsidR="00E55AAC" w:rsidRDefault="00E55AAC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5-21-34</w:t>
            </w:r>
          </w:p>
          <w:p w:rsidR="00232E18" w:rsidRPr="005F684B" w:rsidRDefault="00E55AAC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E55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276798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276798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E55AAC" w:rsidRDefault="00533143" w:rsidP="00E55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E55AAC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E55AAC" w:rsidRDefault="00E55AAC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экономического отдела администрации Волчанского городского округа</w:t>
            </w:r>
          </w:p>
          <w:p w:rsidR="00E55AAC" w:rsidRDefault="00E55AAC" w:rsidP="00E55A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5-21-34</w:t>
            </w:r>
          </w:p>
          <w:p w:rsidR="002E77DC" w:rsidRPr="005F684B" w:rsidRDefault="00E55AAC" w:rsidP="00E55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E55A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Группа участников отношений:</w:t>
            </w:r>
          </w:p>
          <w:p w:rsidR="00232E18" w:rsidRDefault="00E55AAC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ВГО;</w:t>
            </w:r>
          </w:p>
          <w:p w:rsidR="00234D3B" w:rsidRPr="005F684B" w:rsidRDefault="00E55AAC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категории граждан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B91361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государственные программы  Российской Федерации и Свердловской области, приказ Министерства строительства и инфраструктуры Свердловской области от 27.11.2015 года № 470-П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определения средней рыночной стоимости одного квадратного метра общей площади жилых помещений для обеспечения жильем отдельных категорий граждан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определяющего основы правового регулирования отношений, возникающих в связи с подготовкой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устанавливающего гарантии прав и законных интересов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определения средней рыночной стоимости одного квадратного метра общей площади жилых помещений</w:t>
            </w:r>
            <w:proofErr w:type="gramEnd"/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жильем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B91361" w:rsidP="00B913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рыночной стоимости одного квадратного метра общей площади жилых помещений для обеспечения жильем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(расчет)</w:t>
            </w:r>
            <w:r w:rsidR="00E70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Источники данных:</w:t>
            </w:r>
          </w:p>
          <w:p w:rsidR="002E77DC" w:rsidRPr="005F684B" w:rsidRDefault="00B9136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государственные программы  Российской Федерации и Свердловской области, приказ Министерства строительства и инфраструктуры Свердловской области от 27.11.2015 года № 470-П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года № 131-ФЗ;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B91361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34" w:rsidRPr="005F684B" w:rsidRDefault="00B91361" w:rsidP="00B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исполнения государственных и муниципальных программ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B9136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государственные программы  Российской Федерации и Свердловской области, приказ Министерства строительства и инфраструктуры Свердловской области от 27.11.2015 года № 470-П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B91361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государственных и муниципальных программ должны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 оценить  финансовые риски и возможности,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претендуя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2E77DC" w:rsidRPr="005F684B" w:rsidRDefault="00B9136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категории граждан Волчанского городского округа</w:t>
            </w:r>
          </w:p>
        </w:tc>
        <w:tc>
          <w:tcPr>
            <w:tcW w:w="2324" w:type="dxa"/>
          </w:tcPr>
          <w:p w:rsidR="002E77DC" w:rsidRPr="008A6F32" w:rsidRDefault="0086045E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расчетом на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средней рыночной стоимости одного квадратного метра общей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жилых помещений для обеспечения жильем отдельных категорий граждан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B9136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государственные программы  Российской Федерации и Свердловской области, приказ Министерства строительства и инфраструктуры Свердловской области от 27.11.2015 года № 470-П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наступления рисков для всех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B91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основ правового регулирования отношений,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>отдельных категорий граждан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B9136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Федерации, государственные программы  Российской Федерации и Свердловской области, приказ Министерства строительства и инфраструктуры Свердловской области от 27.11.2015 года № 470-П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0A" w:rsidRPr="00B91361">
              <w:rPr>
                <w:rFonts w:ascii="Times New Roman" w:hAnsi="Times New Roman" w:cs="Times New Roman"/>
                <w:sz w:val="28"/>
                <w:szCs w:val="28"/>
              </w:rPr>
              <w:t>определением средней рыночной стоимости одного квадратного метра общей площади жилых помещений для обеспечения жильем отдельных категорий граждан</w:t>
            </w:r>
          </w:p>
        </w:tc>
        <w:tc>
          <w:tcPr>
            <w:tcW w:w="7401" w:type="dxa"/>
          </w:tcPr>
          <w:p w:rsidR="00B91361" w:rsidRPr="00B91361" w:rsidRDefault="00B91361" w:rsidP="00B9136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61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31655" w:rsidRPr="005F684B" w:rsidRDefault="00B91361" w:rsidP="00B9136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61"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отношений, возникающих в связи с определением средней рыночной стоимости одного квадратного метра общей площади жилых помещений для обеспечения жильем отдельных категорий граждан, в том числе соответствующие полномочия органов местного самоуправления, установления гарантий прав и законных интересов отдельных категорий граждан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117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117C0A" w:rsidRPr="00117C0A" w:rsidRDefault="00117C0A" w:rsidP="00117C0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E77DC" w:rsidRPr="005F684B" w:rsidRDefault="00117C0A" w:rsidP="00117C0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отношений, возникающих в связи с определением средней рыночной стоимости одного квадратного метра общей площади жилых помещений для обеспечения жильем отдельных категорий граждан, в том числе соответствующие полномочия органов местного самоуправления, установления гарантий прав и законных интересов отдельных категорий граждан Волчанского городского округа.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</w:t>
            </w:r>
            <w:r w:rsidR="00117C0A" w:rsidRPr="00117C0A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17C0A" w:rsidRPr="00117C0A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рыночной стоимости одного квадратного метра общей площади жилых помещений</w:t>
            </w:r>
            <w:proofErr w:type="gramEnd"/>
            <w:r w:rsidR="00117C0A" w:rsidRPr="00117C0A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жильем отдельных категорий граждан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постановления главы Волчанского городского округа 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117C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1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117C0A" w:rsidP="00117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3143">
        <w:rPr>
          <w:rFonts w:ascii="Times New Roman" w:hAnsi="Times New Roman" w:cs="Times New Roman"/>
          <w:sz w:val="28"/>
          <w:szCs w:val="28"/>
        </w:rPr>
        <w:t>итогам публичных консультаций поступило</w:t>
      </w:r>
      <w:r>
        <w:rPr>
          <w:rFonts w:ascii="Times New Roman" w:hAnsi="Times New Roman" w:cs="Times New Roman"/>
          <w:sz w:val="28"/>
          <w:szCs w:val="28"/>
        </w:rPr>
        <w:t xml:space="preserve"> два замечания от одного участника публичных консультаций</w:t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, которые были учтены при принятии нормативного правового акта.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98" w:rsidRDefault="00276798">
      <w:pPr>
        <w:spacing w:after="0" w:line="240" w:lineRule="auto"/>
      </w:pPr>
      <w:r>
        <w:separator/>
      </w:r>
    </w:p>
  </w:endnote>
  <w:endnote w:type="continuationSeparator" w:id="0">
    <w:p w:rsidR="00276798" w:rsidRDefault="0027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98" w:rsidRDefault="00276798">
      <w:pPr>
        <w:spacing w:after="0" w:line="240" w:lineRule="auto"/>
      </w:pPr>
      <w:r>
        <w:separator/>
      </w:r>
    </w:p>
  </w:footnote>
  <w:footnote w:type="continuationSeparator" w:id="0">
    <w:p w:rsidR="00276798" w:rsidRDefault="0027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117C0A"/>
    <w:rsid w:val="00203634"/>
    <w:rsid w:val="0020737A"/>
    <w:rsid w:val="00226151"/>
    <w:rsid w:val="00231655"/>
    <w:rsid w:val="00232E18"/>
    <w:rsid w:val="00234D3B"/>
    <w:rsid w:val="00251ED1"/>
    <w:rsid w:val="0025244A"/>
    <w:rsid w:val="00276798"/>
    <w:rsid w:val="002E77DC"/>
    <w:rsid w:val="00341321"/>
    <w:rsid w:val="003F768A"/>
    <w:rsid w:val="0051391E"/>
    <w:rsid w:val="0052343F"/>
    <w:rsid w:val="00523CE6"/>
    <w:rsid w:val="00533143"/>
    <w:rsid w:val="00533F47"/>
    <w:rsid w:val="00534952"/>
    <w:rsid w:val="00534C8E"/>
    <w:rsid w:val="005A03AE"/>
    <w:rsid w:val="005B5DDD"/>
    <w:rsid w:val="00643732"/>
    <w:rsid w:val="006862B0"/>
    <w:rsid w:val="006A18EE"/>
    <w:rsid w:val="00713692"/>
    <w:rsid w:val="00792E8C"/>
    <w:rsid w:val="007D3638"/>
    <w:rsid w:val="008026E7"/>
    <w:rsid w:val="0080282E"/>
    <w:rsid w:val="008131F3"/>
    <w:rsid w:val="00834A3B"/>
    <w:rsid w:val="0086045E"/>
    <w:rsid w:val="008A1E7A"/>
    <w:rsid w:val="008E65F6"/>
    <w:rsid w:val="00931FE1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91361"/>
    <w:rsid w:val="00BB6FA7"/>
    <w:rsid w:val="00BD7C08"/>
    <w:rsid w:val="00C9318D"/>
    <w:rsid w:val="00DD4BF2"/>
    <w:rsid w:val="00E4662A"/>
    <w:rsid w:val="00E55AAC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chansk-adm.ru/or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lchansk-adm.ru/or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chansk-adm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26F1-8A4D-4B45-AC97-8C2CF36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23</cp:revision>
  <dcterms:created xsi:type="dcterms:W3CDTF">2016-04-08T04:54:00Z</dcterms:created>
  <dcterms:modified xsi:type="dcterms:W3CDTF">2018-04-11T04:52:00Z</dcterms:modified>
</cp:coreProperties>
</file>